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444DC">
      <w:pPr>
        <w:jc w:val="right"/>
        <w:rPr>
          <w:rFonts w:ascii="楷体_GB2312" w:hAnsi="宋体" w:eastAsia="楷体_GB2312"/>
          <w:b/>
          <w:color w:val="auto"/>
          <w:sz w:val="28"/>
          <w:szCs w:val="28"/>
          <w:lang w:eastAsia="zh-CN"/>
        </w:rPr>
      </w:pPr>
      <w:bookmarkStart w:id="0" w:name="_Toc21277"/>
      <w:bookmarkStart w:id="1" w:name="_Toc6094"/>
      <w:bookmarkStart w:id="2" w:name="_Toc16019"/>
      <w:bookmarkStart w:id="3" w:name="_Toc24081"/>
      <w:bookmarkStart w:id="4" w:name="_Toc31933"/>
      <w:bookmarkStart w:id="5" w:name="_Toc13686"/>
      <w:r>
        <w:rPr>
          <w:rFonts w:hint="eastAsia" w:ascii="楷体_GB2312" w:hAnsi="宋体" w:eastAsia="楷体_GB2312"/>
          <w:b/>
          <w:color w:val="auto"/>
          <w:sz w:val="28"/>
          <w:szCs w:val="28"/>
          <w:lang w:eastAsia="zh-CN"/>
        </w:rPr>
        <w:t>田野档案编号：</w:t>
      </w:r>
      <w:bookmarkEnd w:id="0"/>
      <w:bookmarkEnd w:id="1"/>
      <w:bookmarkEnd w:id="2"/>
      <w:bookmarkEnd w:id="3"/>
      <w:bookmarkEnd w:id="4"/>
      <w:bookmarkEnd w:id="5"/>
      <w:r>
        <w:rPr>
          <w:rFonts w:hint="eastAsia" w:ascii="楷体_GB2312" w:hAnsi="宋体" w:eastAsia="楷体_GB2312"/>
          <w:b/>
          <w:color w:val="auto"/>
          <w:sz w:val="28"/>
          <w:szCs w:val="28"/>
          <w:lang w:eastAsia="zh-CN"/>
        </w:rPr>
        <w:t>GZKG-202</w:t>
      </w:r>
      <w:r>
        <w:rPr>
          <w:rFonts w:hint="eastAsia" w:ascii="楷体_GB2312" w:hAnsi="宋体" w:eastAsia="楷体_GB2312"/>
          <w:b/>
          <w:color w:val="auto"/>
          <w:sz w:val="28"/>
          <w:szCs w:val="28"/>
          <w:lang w:val="en-US" w:eastAsia="zh-CN"/>
        </w:rPr>
        <w:t>5</w:t>
      </w:r>
      <w:r>
        <w:rPr>
          <w:rFonts w:hint="eastAsia" w:ascii="楷体_GB2312" w:hAnsi="宋体" w:eastAsia="楷体_GB2312"/>
          <w:b/>
          <w:color w:val="auto"/>
          <w:sz w:val="28"/>
          <w:szCs w:val="28"/>
          <w:lang w:eastAsia="zh-CN"/>
        </w:rPr>
        <w:t>-</w:t>
      </w:r>
      <w:r>
        <w:rPr>
          <w:rFonts w:hint="eastAsia" w:ascii="楷体_GB2312" w:hAnsi="宋体" w:eastAsia="楷体_GB2312"/>
          <w:b/>
          <w:color w:val="auto"/>
          <w:sz w:val="28"/>
          <w:szCs w:val="28"/>
          <w:lang w:val="en-US" w:eastAsia="zh-CN"/>
        </w:rPr>
        <w:t>114</w:t>
      </w:r>
      <w:r>
        <w:rPr>
          <w:rFonts w:hint="eastAsia" w:ascii="楷体_GB2312" w:hAnsi="宋体" w:eastAsia="楷体_GB2312"/>
          <w:b/>
          <w:color w:val="auto"/>
          <w:sz w:val="28"/>
          <w:szCs w:val="28"/>
          <w:lang w:eastAsia="zh-CN"/>
        </w:rPr>
        <w:t>(KT）</w:t>
      </w:r>
    </w:p>
    <w:p w14:paraId="2E24FFAE">
      <w:pPr>
        <w:rPr>
          <w:color w:val="auto"/>
          <w:lang w:eastAsia="zh-CN"/>
        </w:rPr>
      </w:pPr>
    </w:p>
    <w:p w14:paraId="631C8322">
      <w:pPr>
        <w:rPr>
          <w:color w:val="auto"/>
          <w:lang w:eastAsia="zh-CN"/>
        </w:rPr>
      </w:pPr>
    </w:p>
    <w:p w14:paraId="6312F6E5">
      <w:pPr>
        <w:rPr>
          <w:color w:val="auto"/>
          <w:lang w:eastAsia="zh-CN"/>
        </w:rPr>
      </w:pPr>
    </w:p>
    <w:p w14:paraId="1C166102">
      <w:pPr>
        <w:rPr>
          <w:color w:val="auto"/>
          <w:lang w:eastAsia="zh-CN"/>
        </w:rPr>
      </w:pPr>
    </w:p>
    <w:p w14:paraId="1DE9F1CA">
      <w:pPr>
        <w:rPr>
          <w:color w:val="auto"/>
          <w:lang w:eastAsia="zh-CN"/>
        </w:rPr>
      </w:pPr>
    </w:p>
    <w:p w14:paraId="65226BF8">
      <w:pPr>
        <w:rPr>
          <w:color w:val="auto"/>
          <w:lang w:eastAsia="zh-CN"/>
        </w:rPr>
      </w:pPr>
    </w:p>
    <w:p w14:paraId="6EC9B007">
      <w:pPr>
        <w:rPr>
          <w:color w:val="auto"/>
          <w:lang w:eastAsia="zh-CN"/>
        </w:rPr>
      </w:pPr>
    </w:p>
    <w:p w14:paraId="79F9F456">
      <w:pPr>
        <w:rPr>
          <w:color w:val="auto"/>
          <w:lang w:eastAsia="zh-CN"/>
        </w:rPr>
      </w:pPr>
    </w:p>
    <w:p w14:paraId="56E6A2A8">
      <w:pPr>
        <w:rPr>
          <w:color w:val="auto"/>
          <w:lang w:eastAsia="zh-CN"/>
        </w:rPr>
      </w:pPr>
    </w:p>
    <w:p w14:paraId="77D7C819">
      <w:pPr>
        <w:rPr>
          <w:color w:val="auto"/>
          <w:lang w:eastAsia="zh-CN"/>
        </w:rPr>
      </w:pPr>
    </w:p>
    <w:p w14:paraId="0D5ED7FE">
      <w:pPr>
        <w:widowControl w:val="0"/>
        <w:autoSpaceDE w:val="0"/>
        <w:autoSpaceDN w:val="0"/>
        <w:spacing w:line="360" w:lineRule="auto"/>
        <w:ind w:firstLine="0"/>
        <w:jc w:val="center"/>
        <w:rPr>
          <w:rFonts w:hint="default" w:ascii="楷体" w:hAnsi="宋体" w:eastAsia="楷体" w:cs="宋体"/>
          <w:b/>
          <w:color w:val="auto"/>
          <w:spacing w:val="-20"/>
          <w:w w:val="90"/>
          <w:sz w:val="72"/>
          <w:szCs w:val="22"/>
          <w:lang w:val="en-US" w:eastAsia="zh-CN" w:bidi="zh-CN"/>
        </w:rPr>
      </w:pPr>
      <w:bookmarkStart w:id="6" w:name="_Toc29256"/>
      <w:bookmarkStart w:id="7" w:name="_Toc16442"/>
      <w:bookmarkStart w:id="8" w:name="_Toc367"/>
      <w:bookmarkStart w:id="9" w:name="_Toc13769"/>
      <w:bookmarkStart w:id="10" w:name="_Toc17944"/>
      <w:bookmarkStart w:id="11" w:name="_Toc29828"/>
      <w:bookmarkStart w:id="12" w:name="_Toc8974"/>
      <w:bookmarkStart w:id="13" w:name="_Toc144"/>
      <w:bookmarkStart w:id="14" w:name="_Toc18516"/>
      <w:bookmarkStart w:id="15" w:name="_Toc1618"/>
      <w:bookmarkStart w:id="16" w:name="_Toc29114"/>
      <w:bookmarkStart w:id="17" w:name="_Toc28090"/>
      <w:r>
        <w:rPr>
          <w:rFonts w:hint="eastAsia" w:ascii="楷体" w:hAnsi="宋体" w:eastAsia="楷体" w:cs="宋体"/>
          <w:b/>
          <w:color w:val="auto"/>
          <w:spacing w:val="-23"/>
          <w:w w:val="80"/>
          <w:sz w:val="72"/>
          <w:szCs w:val="22"/>
          <w:lang w:val="en-US" w:eastAsia="zh-CN" w:bidi="zh-CN"/>
        </w:rPr>
        <w:t>增城区增江街五星村38.548亩地块</w:t>
      </w:r>
    </w:p>
    <w:p w14:paraId="1BEBD5CE">
      <w:pPr>
        <w:widowControl w:val="0"/>
        <w:autoSpaceDE w:val="0"/>
        <w:autoSpaceDN w:val="0"/>
        <w:spacing w:line="360" w:lineRule="auto"/>
        <w:ind w:firstLine="0"/>
        <w:jc w:val="center"/>
        <w:rPr>
          <w:rFonts w:ascii="黑体" w:hAnsi="黑体" w:eastAsia="黑体" w:cs="黑体"/>
          <w:b/>
          <w:bCs/>
          <w:color w:val="auto"/>
          <w:w w:val="95"/>
          <w:sz w:val="84"/>
          <w:szCs w:val="84"/>
          <w:lang w:eastAsia="zh-CN"/>
        </w:rPr>
      </w:pPr>
      <w:r>
        <w:rPr>
          <w:rFonts w:hint="eastAsia" w:ascii="黑体" w:hAnsi="黑体" w:eastAsia="黑体" w:cs="黑体"/>
          <w:b/>
          <w:bCs/>
          <w:color w:val="auto"/>
          <w:w w:val="95"/>
          <w:sz w:val="84"/>
          <w:szCs w:val="84"/>
          <w:lang w:eastAsia="zh-CN"/>
        </w:rPr>
        <w:t>考古调查勘探工作报告</w:t>
      </w:r>
      <w:bookmarkEnd w:id="6"/>
      <w:bookmarkEnd w:id="7"/>
      <w:bookmarkEnd w:id="8"/>
      <w:bookmarkEnd w:id="9"/>
      <w:bookmarkEnd w:id="10"/>
      <w:bookmarkEnd w:id="11"/>
      <w:bookmarkEnd w:id="12"/>
      <w:bookmarkEnd w:id="13"/>
      <w:bookmarkEnd w:id="14"/>
      <w:bookmarkEnd w:id="15"/>
      <w:bookmarkEnd w:id="16"/>
      <w:bookmarkEnd w:id="17"/>
    </w:p>
    <w:p w14:paraId="6694A70F">
      <w:pPr>
        <w:rPr>
          <w:rFonts w:hint="default"/>
          <w:color w:val="auto"/>
          <w:lang w:val="en-US" w:eastAsia="zh-CN"/>
        </w:rPr>
      </w:pPr>
      <w:r>
        <w:rPr>
          <w:rFonts w:hint="eastAsia"/>
          <w:color w:val="auto"/>
          <w:lang w:val="en-US" w:eastAsia="zh-CN"/>
        </w:rPr>
        <w:t xml:space="preserve">  </w:t>
      </w:r>
    </w:p>
    <w:p w14:paraId="11B773D6">
      <w:pPr>
        <w:rPr>
          <w:color w:val="auto"/>
          <w:lang w:eastAsia="zh-CN"/>
        </w:rPr>
      </w:pPr>
    </w:p>
    <w:p w14:paraId="25F0C8B2">
      <w:pPr>
        <w:rPr>
          <w:color w:val="auto"/>
          <w:lang w:eastAsia="zh-CN"/>
        </w:rPr>
      </w:pPr>
    </w:p>
    <w:p w14:paraId="6C0CEAFE">
      <w:pPr>
        <w:rPr>
          <w:color w:val="auto"/>
          <w:lang w:eastAsia="zh-CN"/>
        </w:rPr>
      </w:pPr>
    </w:p>
    <w:p w14:paraId="3BAFBC97">
      <w:pPr>
        <w:rPr>
          <w:color w:val="auto"/>
          <w:lang w:eastAsia="zh-CN"/>
        </w:rPr>
      </w:pPr>
    </w:p>
    <w:p w14:paraId="5417863B">
      <w:pPr>
        <w:rPr>
          <w:color w:val="auto"/>
          <w:lang w:eastAsia="zh-CN"/>
        </w:rPr>
      </w:pPr>
    </w:p>
    <w:p w14:paraId="294EC077">
      <w:pPr>
        <w:rPr>
          <w:color w:val="auto"/>
          <w:lang w:eastAsia="zh-CN"/>
        </w:rPr>
      </w:pPr>
    </w:p>
    <w:p w14:paraId="6C4786D3">
      <w:pPr>
        <w:rPr>
          <w:color w:val="auto"/>
          <w:lang w:eastAsia="zh-CN"/>
        </w:rPr>
      </w:pPr>
    </w:p>
    <w:p w14:paraId="208D9E47">
      <w:pPr>
        <w:rPr>
          <w:color w:val="auto"/>
          <w:lang w:eastAsia="zh-CN"/>
        </w:rPr>
      </w:pPr>
    </w:p>
    <w:p w14:paraId="28AC5B9D">
      <w:pPr>
        <w:rPr>
          <w:color w:val="auto"/>
          <w:lang w:eastAsia="zh-CN"/>
        </w:rPr>
      </w:pPr>
    </w:p>
    <w:p w14:paraId="3C28A0EF">
      <w:pPr>
        <w:ind w:firstLine="0"/>
        <w:rPr>
          <w:color w:val="auto"/>
          <w:lang w:eastAsia="zh-CN"/>
        </w:rPr>
      </w:pPr>
    </w:p>
    <w:p w14:paraId="1BCF4CBF">
      <w:pPr>
        <w:ind w:firstLine="0"/>
        <w:rPr>
          <w:color w:val="auto"/>
          <w:lang w:eastAsia="zh-CN"/>
        </w:rPr>
      </w:pPr>
    </w:p>
    <w:p w14:paraId="5E4252DC">
      <w:pPr>
        <w:ind w:firstLine="0"/>
        <w:rPr>
          <w:color w:val="auto"/>
          <w:lang w:eastAsia="zh-CN"/>
        </w:rPr>
      </w:pPr>
    </w:p>
    <w:p w14:paraId="2C02D4ED">
      <w:pPr>
        <w:ind w:firstLine="0"/>
        <w:rPr>
          <w:color w:val="auto"/>
          <w:lang w:eastAsia="zh-CN"/>
        </w:rPr>
      </w:pPr>
    </w:p>
    <w:p w14:paraId="3F7E4599">
      <w:pPr>
        <w:ind w:firstLine="0"/>
        <w:rPr>
          <w:color w:val="auto"/>
          <w:lang w:eastAsia="zh-CN"/>
        </w:rPr>
      </w:pPr>
    </w:p>
    <w:p w14:paraId="1FB82E5D">
      <w:pPr>
        <w:pStyle w:val="6"/>
        <w:spacing w:before="5"/>
        <w:ind w:firstLine="0"/>
        <w:rPr>
          <w:rFonts w:ascii="微软雅黑" w:hAnsi="微软雅黑" w:eastAsia="微软雅黑" w:cs="微软雅黑"/>
          <w:color w:val="auto"/>
          <w:sz w:val="23"/>
        </w:rPr>
      </w:pPr>
    </w:p>
    <w:p w14:paraId="4EAC34C8">
      <w:pPr>
        <w:pStyle w:val="6"/>
        <w:spacing w:before="5"/>
        <w:ind w:firstLine="0"/>
        <w:rPr>
          <w:rFonts w:ascii="微软雅黑" w:hAnsi="微软雅黑" w:eastAsia="微软雅黑" w:cs="微软雅黑"/>
          <w:color w:val="auto"/>
          <w:sz w:val="23"/>
        </w:rPr>
      </w:pPr>
    </w:p>
    <w:p w14:paraId="7B9682E7">
      <w:pPr>
        <w:spacing w:before="1"/>
        <w:ind w:right="491" w:firstLine="1761" w:firstLineChars="400"/>
        <w:jc w:val="both"/>
        <w:rPr>
          <w:rFonts w:ascii="华文隶书" w:hAnsi="华文隶书" w:eastAsia="华文隶书" w:cs="华文隶书"/>
          <w:b/>
          <w:color w:val="auto"/>
          <w:sz w:val="44"/>
          <w:lang w:eastAsia="zh-CN"/>
        </w:rPr>
      </w:pPr>
      <w:r>
        <w:rPr>
          <w:rFonts w:hint="eastAsia" w:ascii="华文隶书" w:hAnsi="华文隶书" w:eastAsia="华文隶书" w:cs="华文隶书"/>
          <w:b/>
          <w:color w:val="auto"/>
          <w:sz w:val="44"/>
          <w:lang w:eastAsia="zh-CN"/>
        </w:rPr>
        <w:t>广州市文物考古研究院</w:t>
      </w:r>
    </w:p>
    <w:p w14:paraId="10488E5F">
      <w:pPr>
        <w:tabs>
          <w:tab w:val="left" w:pos="959"/>
          <w:tab w:val="left" w:pos="1600"/>
        </w:tabs>
        <w:spacing w:before="67"/>
        <w:ind w:right="375" w:firstLine="0"/>
        <w:jc w:val="center"/>
        <w:rPr>
          <w:rFonts w:hint="eastAsia" w:ascii="华文隶书" w:hAnsi="华文隶书" w:eastAsia="华文隶书" w:cs="华文隶书"/>
          <w:color w:val="auto"/>
          <w:sz w:val="32"/>
          <w:highlight w:val="none"/>
          <w:lang w:eastAsia="zh-CN"/>
        </w:rPr>
      </w:pPr>
      <w:r>
        <w:rPr>
          <w:rFonts w:hint="eastAsia" w:ascii="华文隶书" w:hAnsi="华文隶书" w:eastAsia="华文隶书" w:cs="华文隶书"/>
          <w:color w:val="auto"/>
          <w:sz w:val="32"/>
          <w:highlight w:val="none"/>
          <w:lang w:eastAsia="zh-CN"/>
        </w:rPr>
        <w:t>二〇二</w:t>
      </w:r>
      <w:r>
        <w:rPr>
          <w:rFonts w:hint="eastAsia" w:ascii="华文隶书" w:hAnsi="华文隶书" w:eastAsia="华文隶书" w:cs="华文隶书"/>
          <w:color w:val="auto"/>
          <w:sz w:val="32"/>
          <w:highlight w:val="none"/>
          <w:lang w:val="en-US" w:eastAsia="zh-CN"/>
        </w:rPr>
        <w:t>五</w:t>
      </w:r>
      <w:r>
        <w:rPr>
          <w:rFonts w:hint="eastAsia" w:ascii="华文隶书" w:hAnsi="华文隶书" w:eastAsia="华文隶书" w:cs="华文隶书"/>
          <w:color w:val="auto"/>
          <w:sz w:val="32"/>
          <w:highlight w:val="none"/>
          <w:lang w:eastAsia="zh-CN"/>
        </w:rPr>
        <w:t>年</w:t>
      </w:r>
      <w:r>
        <w:rPr>
          <w:rFonts w:hint="eastAsia" w:ascii="华文隶书" w:hAnsi="华文隶书" w:eastAsia="华文隶书" w:cs="华文隶书"/>
          <w:color w:val="auto"/>
          <w:sz w:val="32"/>
          <w:highlight w:val="none"/>
          <w:lang w:val="en-US" w:eastAsia="zh-CN"/>
        </w:rPr>
        <w:t>十</w:t>
      </w:r>
      <w:r>
        <w:rPr>
          <w:rFonts w:hint="eastAsia" w:ascii="华文隶书" w:hAnsi="华文隶书" w:eastAsia="华文隶书" w:cs="华文隶书"/>
          <w:color w:val="auto"/>
          <w:sz w:val="32"/>
          <w:highlight w:val="none"/>
          <w:lang w:eastAsia="zh-CN"/>
        </w:rPr>
        <w:t>月</w:t>
      </w:r>
    </w:p>
    <w:p w14:paraId="7C69105C">
      <w:pPr>
        <w:rPr>
          <w:rFonts w:hint="eastAsia" w:ascii="华文隶书" w:hAnsi="华文隶书" w:eastAsia="华文隶书" w:cs="华文隶书"/>
          <w:color w:val="auto"/>
          <w:sz w:val="32"/>
          <w:lang w:eastAsia="zh-CN"/>
        </w:rPr>
      </w:pPr>
      <w:r>
        <w:rPr>
          <w:rFonts w:hint="eastAsia" w:ascii="华文隶书" w:hAnsi="华文隶书" w:eastAsia="华文隶书" w:cs="华文隶书"/>
          <w:color w:val="auto"/>
          <w:sz w:val="32"/>
          <w:lang w:eastAsia="zh-CN"/>
        </w:rPr>
        <w:br w:type="page"/>
      </w:r>
    </w:p>
    <w:p w14:paraId="0BD9634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7AB83CD">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color w:val="auto"/>
          <w:w w:val="100"/>
          <w:sz w:val="30"/>
          <w:szCs w:val="30"/>
          <w:lang w:val="en-US" w:eastAsia="zh-CN"/>
        </w:rPr>
      </w:pPr>
      <w:r>
        <w:rPr>
          <w:rFonts w:hint="eastAsia" w:ascii="仿宋" w:hAnsi="仿宋" w:eastAsia="仿宋" w:cs="仿宋"/>
          <w:b/>
          <w:bCs/>
          <w:color w:val="auto"/>
          <w:w w:val="100"/>
          <w:sz w:val="30"/>
          <w:szCs w:val="30"/>
          <w:lang w:eastAsia="zh-CN"/>
        </w:rPr>
        <w:t>项目</w:t>
      </w:r>
      <w:r>
        <w:rPr>
          <w:rFonts w:hint="eastAsia" w:ascii="仿宋" w:hAnsi="仿宋" w:eastAsia="仿宋" w:cs="仿宋"/>
          <w:b/>
          <w:bCs/>
          <w:color w:val="auto"/>
          <w:w w:val="100"/>
          <w:sz w:val="30"/>
          <w:szCs w:val="30"/>
          <w:lang w:val="en-US" w:eastAsia="zh-CN"/>
        </w:rPr>
        <w:t>名称</w:t>
      </w:r>
      <w:r>
        <w:rPr>
          <w:rFonts w:hint="eastAsia" w:ascii="仿宋" w:hAnsi="仿宋" w:eastAsia="仿宋" w:cs="仿宋"/>
          <w:b/>
          <w:bCs/>
          <w:color w:val="auto"/>
          <w:w w:val="100"/>
          <w:sz w:val="30"/>
          <w:szCs w:val="30"/>
          <w:lang w:eastAsia="zh-CN"/>
        </w:rPr>
        <w:t>：</w:t>
      </w:r>
      <w:r>
        <w:rPr>
          <w:rFonts w:hint="eastAsia" w:ascii="仿宋" w:hAnsi="仿宋" w:eastAsia="仿宋" w:cs="仿宋"/>
          <w:b w:val="0"/>
          <w:bCs w:val="0"/>
          <w:color w:val="auto"/>
          <w:spacing w:val="0"/>
          <w:w w:val="100"/>
          <w:sz w:val="30"/>
          <w:szCs w:val="30"/>
          <w:lang w:val="en-US" w:eastAsia="zh-CN"/>
        </w:rPr>
        <w:t>增城区增江街五星村38.548亩地块</w:t>
      </w:r>
    </w:p>
    <w:p w14:paraId="1C2A1B0F">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val="0"/>
          <w:bCs w:val="0"/>
          <w:color w:val="auto"/>
          <w:w w:val="100"/>
          <w:sz w:val="30"/>
          <w:szCs w:val="30"/>
          <w:lang w:val="en-US" w:eastAsia="zh-CN"/>
        </w:rPr>
      </w:pPr>
      <w:r>
        <w:rPr>
          <w:rFonts w:hint="eastAsia" w:ascii="仿宋" w:hAnsi="仿宋" w:eastAsia="仿宋" w:cs="仿宋"/>
          <w:b/>
          <w:bCs/>
          <w:color w:val="auto"/>
          <w:w w:val="100"/>
          <w:sz w:val="30"/>
          <w:szCs w:val="30"/>
          <w:lang w:eastAsia="zh-CN"/>
        </w:rPr>
        <w:t>项目地点：</w:t>
      </w:r>
      <w:r>
        <w:rPr>
          <w:rFonts w:hint="eastAsia" w:ascii="仿宋" w:hAnsi="仿宋" w:eastAsia="仿宋" w:cs="仿宋"/>
          <w:b w:val="0"/>
          <w:bCs w:val="0"/>
          <w:color w:val="auto"/>
          <w:w w:val="100"/>
          <w:sz w:val="30"/>
          <w:szCs w:val="30"/>
          <w:lang w:val="en-US" w:eastAsia="zh-CN"/>
        </w:rPr>
        <w:t>增城区增江街五星村西南部</w:t>
      </w:r>
    </w:p>
    <w:p w14:paraId="3C1B91E1">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lang w:val="en-US" w:eastAsia="zh-CN"/>
        </w:rPr>
      </w:pPr>
      <w:r>
        <w:rPr>
          <w:rFonts w:hint="eastAsia" w:ascii="仿宋" w:hAnsi="仿宋" w:eastAsia="仿宋" w:cs="仿宋"/>
          <w:b/>
          <w:bCs/>
          <w:color w:val="auto"/>
          <w:w w:val="100"/>
          <w:sz w:val="30"/>
          <w:szCs w:val="30"/>
          <w:lang w:val="en-US" w:eastAsia="zh-CN"/>
        </w:rPr>
        <w:t>收储</w:t>
      </w:r>
      <w:r>
        <w:rPr>
          <w:rFonts w:hint="eastAsia" w:ascii="仿宋" w:hAnsi="仿宋" w:eastAsia="仿宋" w:cs="仿宋"/>
          <w:b/>
          <w:bCs/>
          <w:color w:val="auto"/>
          <w:w w:val="100"/>
          <w:sz w:val="30"/>
          <w:szCs w:val="30"/>
          <w:lang w:eastAsia="zh-CN"/>
        </w:rPr>
        <w:t>单位：</w:t>
      </w:r>
      <w:r>
        <w:rPr>
          <w:rFonts w:hint="eastAsia" w:ascii="仿宋" w:hAnsi="仿宋" w:eastAsia="仿宋" w:cs="仿宋"/>
          <w:b w:val="0"/>
          <w:bCs w:val="0"/>
          <w:color w:val="auto"/>
          <w:w w:val="100"/>
          <w:sz w:val="30"/>
          <w:szCs w:val="30"/>
          <w:lang w:val="en-US" w:eastAsia="zh-CN"/>
        </w:rPr>
        <w:t>广州市增城区土地开发储备中心</w:t>
      </w:r>
    </w:p>
    <w:p w14:paraId="5EB9C939">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color w:val="auto"/>
          <w:w w:val="100"/>
          <w:sz w:val="30"/>
          <w:szCs w:val="30"/>
          <w:lang w:eastAsia="zh-CN"/>
        </w:rPr>
      </w:pPr>
      <w:r>
        <w:rPr>
          <w:rFonts w:hint="eastAsia" w:ascii="仿宋" w:hAnsi="仿宋" w:eastAsia="仿宋" w:cs="仿宋"/>
          <w:b/>
          <w:bCs/>
          <w:color w:val="auto"/>
          <w:w w:val="100"/>
          <w:sz w:val="30"/>
          <w:szCs w:val="30"/>
          <w:lang w:eastAsia="zh-CN"/>
        </w:rPr>
        <w:t>项目领队：</w:t>
      </w:r>
      <w:r>
        <w:rPr>
          <w:rFonts w:hint="eastAsia" w:ascii="仿宋" w:hAnsi="仿宋" w:eastAsia="仿宋" w:cs="仿宋"/>
          <w:color w:val="auto"/>
          <w:w w:val="100"/>
          <w:sz w:val="30"/>
          <w:szCs w:val="30"/>
          <w:lang w:val="en-US" w:eastAsia="zh-CN"/>
        </w:rPr>
        <w:t>张百祥</w:t>
      </w:r>
    </w:p>
    <w:p w14:paraId="2BE8C596">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color w:val="auto"/>
          <w:w w:val="100"/>
          <w:sz w:val="30"/>
          <w:szCs w:val="30"/>
          <w:highlight w:val="none"/>
          <w:lang w:eastAsia="zh-CN"/>
        </w:rPr>
      </w:pPr>
      <w:r>
        <w:rPr>
          <w:rFonts w:hint="eastAsia" w:ascii="仿宋" w:hAnsi="仿宋" w:eastAsia="仿宋" w:cs="仿宋"/>
          <w:b/>
          <w:bCs/>
          <w:color w:val="auto"/>
          <w:w w:val="100"/>
          <w:sz w:val="30"/>
          <w:szCs w:val="30"/>
          <w:highlight w:val="none"/>
          <w:lang w:eastAsia="zh-CN"/>
        </w:rPr>
        <w:t>工作人员：</w:t>
      </w:r>
      <w:r>
        <w:rPr>
          <w:rFonts w:hint="eastAsia" w:ascii="仿宋" w:hAnsi="仿宋" w:eastAsia="仿宋" w:cs="仿宋"/>
          <w:b w:val="0"/>
          <w:bCs w:val="0"/>
          <w:color w:val="auto"/>
          <w:spacing w:val="0"/>
          <w:w w:val="100"/>
          <w:sz w:val="30"/>
          <w:szCs w:val="30"/>
          <w:highlight w:val="none"/>
          <w:lang w:val="en-US" w:eastAsia="zh-CN"/>
        </w:rPr>
        <w:t>黄玉清、秦东辉、刘子轩、杜东凯、陈生娥</w:t>
      </w:r>
      <w:r>
        <w:rPr>
          <w:rFonts w:hint="eastAsia" w:ascii="仿宋" w:hAnsi="仿宋" w:eastAsia="仿宋" w:cs="仿宋"/>
          <w:color w:val="auto"/>
          <w:spacing w:val="0"/>
          <w:w w:val="100"/>
          <w:sz w:val="30"/>
          <w:szCs w:val="30"/>
          <w:highlight w:val="none"/>
          <w:lang w:val="en-US" w:eastAsia="zh-CN"/>
        </w:rPr>
        <w:t>等</w:t>
      </w:r>
    </w:p>
    <w:p w14:paraId="69E74CB2">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default" w:ascii="仿宋" w:hAnsi="仿宋" w:eastAsia="仿宋" w:cs="仿宋"/>
          <w:b w:val="0"/>
          <w:bCs w:val="0"/>
          <w:color w:val="auto"/>
          <w:spacing w:val="-23"/>
          <w:w w:val="100"/>
          <w:sz w:val="30"/>
          <w:szCs w:val="30"/>
          <w:highlight w:val="none"/>
          <w:lang w:val="en-US" w:eastAsia="zh-CN"/>
        </w:rPr>
      </w:pPr>
      <w:r>
        <w:rPr>
          <w:rFonts w:hint="eastAsia" w:ascii="仿宋" w:hAnsi="仿宋" w:eastAsia="仿宋" w:cs="仿宋"/>
          <w:b/>
          <w:bCs/>
          <w:color w:val="auto"/>
          <w:w w:val="100"/>
          <w:sz w:val="30"/>
          <w:szCs w:val="30"/>
          <w:highlight w:val="none"/>
          <w:lang w:eastAsia="zh-CN"/>
        </w:rPr>
        <w:t>工作时间：</w:t>
      </w:r>
      <w:r>
        <w:rPr>
          <w:rFonts w:hint="eastAsia" w:ascii="仿宋" w:hAnsi="仿宋" w:eastAsia="仿宋" w:cs="仿宋"/>
          <w:b w:val="0"/>
          <w:bCs w:val="0"/>
          <w:color w:val="auto"/>
          <w:w w:val="100"/>
          <w:sz w:val="30"/>
          <w:szCs w:val="30"/>
          <w:highlight w:val="none"/>
          <w:lang w:val="en-US" w:eastAsia="zh-CN"/>
        </w:rPr>
        <w:t>2025年9月16日-17日，10月12日-18日</w:t>
      </w:r>
    </w:p>
    <w:p w14:paraId="7230E51B">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highlight w:val="none"/>
          <w:lang w:eastAsia="zh-CN"/>
        </w:rPr>
      </w:pPr>
      <w:r>
        <w:rPr>
          <w:rFonts w:hint="eastAsia" w:ascii="仿宋" w:hAnsi="仿宋" w:eastAsia="仿宋" w:cs="仿宋"/>
          <w:b/>
          <w:bCs/>
          <w:color w:val="auto"/>
          <w:w w:val="100"/>
          <w:sz w:val="30"/>
          <w:szCs w:val="30"/>
          <w:highlight w:val="none"/>
          <w:lang w:eastAsia="zh-CN"/>
        </w:rPr>
        <w:t>考古工作概况和主要收获：</w:t>
      </w:r>
    </w:p>
    <w:p w14:paraId="65EFD3E3">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both"/>
        <w:textAlignment w:val="auto"/>
        <w:outlineLvl w:val="9"/>
        <w:rPr>
          <w:color w:val="auto"/>
          <w:highlight w:val="yellow"/>
        </w:rPr>
      </w:pPr>
      <w:r>
        <w:rPr>
          <w:rFonts w:hint="eastAsia" w:ascii="宋体" w:hAnsi="宋体" w:eastAsia="宋体" w:cs="宋体"/>
          <w:color w:val="auto"/>
          <w:sz w:val="24"/>
          <w:szCs w:val="24"/>
          <w:lang w:val="en-US" w:eastAsia="zh-CN"/>
        </w:rPr>
        <w:t>根据《中华人民共和国文物保护法》《广州市文物保护规定》，按照</w:t>
      </w:r>
      <w:r>
        <w:rPr>
          <w:rFonts w:hint="eastAsia" w:ascii="宋体" w:hAnsi="宋体" w:cs="宋体"/>
          <w:color w:val="auto"/>
          <w:kern w:val="2"/>
          <w:sz w:val="24"/>
          <w:szCs w:val="24"/>
          <w:lang w:val="en-US" w:eastAsia="zh-CN" w:bidi="ar-SA"/>
        </w:rPr>
        <w:t>《广州市文物局关于增城区2025年度第二批地块考古调查勘探工作的复函》（文物20250354号）</w:t>
      </w:r>
      <w:r>
        <w:rPr>
          <w:rFonts w:hint="eastAsia" w:ascii="宋体" w:hAnsi="宋体" w:eastAsia="宋体" w:cs="宋体"/>
          <w:color w:val="auto"/>
          <w:sz w:val="24"/>
          <w:szCs w:val="24"/>
          <w:lang w:val="en-US" w:eastAsia="zh-CN"/>
        </w:rPr>
        <w:t>的指导意见，受</w:t>
      </w:r>
      <w:r>
        <w:rPr>
          <w:rFonts w:hint="eastAsia" w:ascii="宋体" w:hAnsi="宋体" w:cs="宋体"/>
          <w:color w:val="auto"/>
          <w:sz w:val="24"/>
          <w:szCs w:val="24"/>
          <w:lang w:val="en-US" w:eastAsia="zh-CN"/>
        </w:rPr>
        <w:t>广州市增城区土地开发储备中心</w:t>
      </w:r>
      <w:r>
        <w:rPr>
          <w:rFonts w:hint="eastAsia" w:ascii="宋体" w:hAnsi="宋体" w:eastAsia="宋体" w:cs="宋体"/>
          <w:color w:val="auto"/>
          <w:sz w:val="24"/>
          <w:szCs w:val="24"/>
          <w:lang w:val="en-US" w:eastAsia="zh-CN"/>
        </w:rPr>
        <w:t>的委托，由我院负责</w:t>
      </w:r>
      <w:r>
        <w:rPr>
          <w:rFonts w:hint="eastAsia" w:ascii="宋体" w:hAnsi="宋体" w:cs="宋体"/>
          <w:color w:val="auto"/>
          <w:sz w:val="24"/>
          <w:szCs w:val="24"/>
          <w:lang w:val="en-US" w:eastAsia="zh-CN"/>
        </w:rPr>
        <w:t>增城区增江街五星村38.548亩地块</w:t>
      </w:r>
      <w:r>
        <w:rPr>
          <w:rFonts w:hint="eastAsia" w:ascii="宋体" w:hAnsi="宋体" w:eastAsia="宋体" w:cs="宋体"/>
          <w:color w:val="auto"/>
          <w:sz w:val="24"/>
          <w:szCs w:val="24"/>
          <w:highlight w:val="none"/>
          <w:lang w:val="en-US" w:eastAsia="zh-CN"/>
        </w:rPr>
        <w:t>的文物考古调查、勘探</w:t>
      </w:r>
      <w:r>
        <w:rPr>
          <w:rFonts w:hint="eastAsia" w:ascii="宋体" w:hAnsi="宋体" w:eastAsia="宋体" w:cs="宋体"/>
          <w:color w:val="auto"/>
          <w:sz w:val="24"/>
          <w:szCs w:val="24"/>
          <w:highlight w:val="none"/>
          <w:lang w:val="en-US" w:eastAsia="zh-CN" w:bidi="en-US"/>
        </w:rPr>
        <w:t>工作</w:t>
      </w:r>
      <w:r>
        <w:rPr>
          <w:rFonts w:hint="eastAsia" w:ascii="宋体" w:hAnsi="宋体" w:cs="宋体"/>
          <w:color w:val="auto"/>
          <w:sz w:val="24"/>
          <w:szCs w:val="24"/>
          <w:highlight w:val="none"/>
          <w:lang w:val="en-US" w:eastAsia="zh-CN" w:bidi="en-US"/>
        </w:rPr>
        <w:t>，</w:t>
      </w:r>
      <w:r>
        <w:rPr>
          <w:rFonts w:hint="eastAsia" w:ascii="宋体" w:hAnsi="宋体" w:eastAsia="宋体" w:cs="宋体"/>
          <w:color w:val="auto"/>
          <w:kern w:val="0"/>
          <w:sz w:val="24"/>
          <w:szCs w:val="24"/>
          <w:highlight w:val="none"/>
          <w:lang w:val="en-US" w:eastAsia="zh-CN" w:bidi="ar"/>
        </w:rPr>
        <w:t>完成</w:t>
      </w:r>
      <w:r>
        <w:rPr>
          <w:rFonts w:hint="eastAsia" w:ascii="宋体" w:hAnsi="宋体" w:cs="宋体"/>
          <w:color w:val="auto"/>
          <w:kern w:val="0"/>
          <w:sz w:val="24"/>
          <w:szCs w:val="24"/>
          <w:highlight w:val="none"/>
          <w:lang w:val="en-US" w:eastAsia="zh-CN" w:bidi="ar"/>
        </w:rPr>
        <w:t>调查面积25698.8平方米、</w:t>
      </w:r>
      <w:r>
        <w:rPr>
          <w:rFonts w:hint="eastAsia" w:ascii="宋体" w:hAnsi="宋体" w:eastAsia="宋体" w:cs="宋体"/>
          <w:color w:val="auto"/>
          <w:kern w:val="0"/>
          <w:sz w:val="24"/>
          <w:szCs w:val="24"/>
          <w:highlight w:val="none"/>
          <w:lang w:val="en-US" w:eastAsia="zh-CN" w:bidi="ar"/>
        </w:rPr>
        <w:t>勘探面积</w:t>
      </w:r>
      <w:r>
        <w:rPr>
          <w:rFonts w:hint="eastAsia" w:ascii="宋体" w:hAnsi="宋体" w:cs="宋体"/>
          <w:color w:val="auto"/>
          <w:kern w:val="0"/>
          <w:sz w:val="24"/>
          <w:szCs w:val="24"/>
          <w:highlight w:val="none"/>
          <w:lang w:val="en-US" w:eastAsia="zh-CN" w:bidi="ar"/>
        </w:rPr>
        <w:t>7700</w:t>
      </w:r>
      <w:r>
        <w:rPr>
          <w:rFonts w:hint="eastAsia" w:ascii="宋体" w:hAnsi="宋体" w:eastAsia="宋体" w:cs="宋体"/>
          <w:color w:val="auto"/>
          <w:kern w:val="0"/>
          <w:sz w:val="24"/>
          <w:szCs w:val="24"/>
          <w:highlight w:val="none"/>
          <w:lang w:val="en-US" w:eastAsia="zh-CN" w:bidi="ar"/>
        </w:rPr>
        <w:t>平方米。</w:t>
      </w:r>
    </w:p>
    <w:p w14:paraId="30E08E82">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增城区增江街五星村38.548亩地块位于增城区增江街五星村西南部，增城区北绕线西侧，蕉石岭森林公园北部，布加岭东南部。该地块总面积25698.8平方米。地块都为山岗，坡度平缓，地块较好的保存了山体的原貌，地势西南高东北低，部分区域较为陡峭，地表种植有松树、灌木等植被。</w:t>
      </w:r>
      <w:r>
        <w:rPr>
          <w:rFonts w:hint="eastAsia" w:ascii="宋体" w:hAnsi="宋体" w:eastAsia="宋体" w:cs="宋体"/>
          <w:color w:val="auto"/>
          <w:kern w:val="0"/>
          <w:sz w:val="24"/>
          <w:szCs w:val="24"/>
          <w:lang w:val="en-US" w:eastAsia="zh-CN" w:bidi="ar"/>
        </w:rPr>
        <w:t>考古勘探表明，该地块内地层堆积较为简单。①层：表土层，为灰褐色黏土，土质疏松，包含植物根茎。该层下为生土，</w:t>
      </w:r>
      <w:r>
        <w:rPr>
          <w:rFonts w:hint="eastAsia" w:ascii="宋体" w:hAnsi="宋体" w:cs="宋体"/>
          <w:color w:val="auto"/>
          <w:kern w:val="0"/>
          <w:sz w:val="24"/>
          <w:szCs w:val="24"/>
          <w:lang w:val="en-US" w:eastAsia="zh-CN" w:bidi="ar"/>
        </w:rPr>
        <w:t>为</w:t>
      </w:r>
      <w:r>
        <w:rPr>
          <w:rFonts w:hint="eastAsia" w:ascii="宋体" w:hAnsi="宋体" w:eastAsia="宋体" w:cs="宋体"/>
          <w:color w:val="auto"/>
          <w:kern w:val="0"/>
          <w:sz w:val="24"/>
          <w:szCs w:val="24"/>
          <w:lang w:val="en-US" w:eastAsia="zh-CN" w:bidi="ar"/>
        </w:rPr>
        <w:t>黄褐色</w:t>
      </w:r>
      <w:r>
        <w:rPr>
          <w:rFonts w:hint="eastAsia" w:ascii="宋体" w:hAnsi="宋体" w:cs="宋体"/>
          <w:color w:val="auto"/>
          <w:kern w:val="0"/>
          <w:sz w:val="24"/>
          <w:szCs w:val="24"/>
          <w:lang w:val="en-US" w:eastAsia="zh-CN" w:bidi="ar"/>
        </w:rPr>
        <w:t>或红褐色</w:t>
      </w:r>
      <w:r>
        <w:rPr>
          <w:rFonts w:hint="eastAsia" w:ascii="宋体" w:hAnsi="宋体" w:eastAsia="宋体" w:cs="宋体"/>
          <w:color w:val="auto"/>
          <w:kern w:val="0"/>
          <w:sz w:val="24"/>
          <w:szCs w:val="24"/>
          <w:lang w:val="en-US" w:eastAsia="zh-CN" w:bidi="ar"/>
        </w:rPr>
        <w:t>黏土，土质致密、</w:t>
      </w:r>
      <w:r>
        <w:rPr>
          <w:rFonts w:hint="eastAsia" w:ascii="宋体" w:hAnsi="宋体" w:cs="宋体"/>
          <w:color w:val="auto"/>
          <w:kern w:val="0"/>
          <w:sz w:val="24"/>
          <w:szCs w:val="24"/>
          <w:lang w:val="en-US" w:eastAsia="zh-CN" w:bidi="ar"/>
        </w:rPr>
        <w:t>纯净</w:t>
      </w:r>
      <w:r>
        <w:rPr>
          <w:rFonts w:hint="eastAsia" w:ascii="宋体" w:hAnsi="宋体" w:eastAsia="宋体" w:cs="宋体"/>
          <w:color w:val="auto"/>
          <w:kern w:val="0"/>
          <w:sz w:val="24"/>
          <w:szCs w:val="24"/>
          <w:lang w:val="en-US" w:eastAsia="zh-CN" w:bidi="ar"/>
        </w:rPr>
        <w:t>。</w:t>
      </w:r>
    </w:p>
    <w:p w14:paraId="212F3DAB">
      <w:pPr>
        <w:keepNext w:val="0"/>
        <w:keepLines w:val="0"/>
        <w:pageBreakBefore w:val="0"/>
        <w:widowControl/>
        <w:suppressLineNumbers w:val="0"/>
        <w:kinsoku/>
        <w:wordWrap/>
        <w:overflowPunct/>
        <w:topLinePunct w:val="0"/>
        <w:autoSpaceDE/>
        <w:autoSpaceDN/>
        <w:bidi w:val="0"/>
        <w:adjustRightInd/>
        <w:snapToGrid/>
        <w:spacing w:line="380" w:lineRule="exact"/>
        <w:ind w:firstLine="480" w:firstLineChars="200"/>
        <w:jc w:val="both"/>
        <w:textAlignment w:val="auto"/>
        <w:outlineLvl w:val="9"/>
        <w:rPr>
          <w:rFonts w:hint="default" w:ascii="宋体" w:hAnsi="宋体" w:cs="宋体"/>
          <w:color w:val="auto"/>
          <w:sz w:val="24"/>
          <w:lang w:val="en-US" w:eastAsia="zh-CN"/>
        </w:rPr>
      </w:pPr>
      <w:r>
        <w:rPr>
          <w:rFonts w:hint="eastAsia" w:ascii="宋体" w:hAnsi="宋体" w:eastAsia="宋体" w:cs="宋体"/>
          <w:color w:val="auto"/>
          <w:kern w:val="0"/>
          <w:sz w:val="24"/>
          <w:szCs w:val="24"/>
          <w:lang w:val="en-US" w:eastAsia="zh-CN" w:bidi="ar"/>
        </w:rPr>
        <w:t>本次考古调查</w:t>
      </w:r>
      <w:r>
        <w:rPr>
          <w:rFonts w:hint="eastAsia" w:ascii="宋体" w:hAnsi="宋体" w:cs="宋体"/>
          <w:color w:val="auto"/>
          <w:kern w:val="0"/>
          <w:sz w:val="24"/>
          <w:szCs w:val="24"/>
          <w:lang w:val="en-US" w:eastAsia="zh-CN" w:bidi="ar"/>
        </w:rPr>
        <w:t>在地块中部山岗发现一件石斧，</w:t>
      </w:r>
      <w:r>
        <w:rPr>
          <w:rFonts w:hint="eastAsia" w:ascii="宋体" w:hAnsi="宋体" w:eastAsia="宋体" w:cs="宋体"/>
          <w:color w:val="auto"/>
          <w:kern w:val="0"/>
          <w:sz w:val="24"/>
          <w:szCs w:val="24"/>
          <w:lang w:val="en-US" w:eastAsia="zh-CN" w:bidi="ar"/>
        </w:rPr>
        <w:t>勘探未发现</w:t>
      </w:r>
      <w:r>
        <w:rPr>
          <w:rFonts w:hint="eastAsia" w:ascii="宋体" w:hAnsi="宋体" w:cs="宋体"/>
          <w:color w:val="auto"/>
          <w:kern w:val="0"/>
          <w:sz w:val="24"/>
          <w:szCs w:val="24"/>
          <w:lang w:val="en-US" w:eastAsia="zh-CN" w:bidi="ar"/>
        </w:rPr>
        <w:t>其他</w:t>
      </w:r>
      <w:r>
        <w:rPr>
          <w:rFonts w:hint="eastAsia" w:ascii="宋体" w:hAnsi="宋体" w:eastAsia="宋体" w:cs="宋体"/>
          <w:color w:val="auto"/>
          <w:kern w:val="0"/>
          <w:sz w:val="24"/>
          <w:szCs w:val="24"/>
          <w:lang w:val="en-US" w:eastAsia="zh-CN" w:bidi="ar"/>
        </w:rPr>
        <w:t>古代文化遗存及不可移动文物。</w:t>
      </w:r>
      <w:r>
        <w:rPr>
          <w:rFonts w:hint="eastAsia" w:ascii="宋体" w:hAnsi="宋体" w:cs="宋体"/>
          <w:color w:val="auto"/>
          <w:kern w:val="0"/>
          <w:sz w:val="24"/>
          <w:szCs w:val="24"/>
          <w:lang w:val="en-US" w:eastAsia="zh-CN" w:bidi="ar"/>
        </w:rPr>
        <w:t>调查发现石斧可能是现代村民种树等活动带至此处的。</w:t>
      </w:r>
    </w:p>
    <w:p w14:paraId="617AFD73">
      <w:pPr>
        <w:keepNext w:val="0"/>
        <w:keepLines w:val="0"/>
        <w:pageBreakBefore w:val="0"/>
        <w:widowControl/>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仿宋" w:hAnsi="仿宋" w:eastAsia="仿宋" w:cs="仿宋"/>
          <w:b/>
          <w:bCs/>
          <w:color w:val="auto"/>
          <w:w w:val="100"/>
          <w:sz w:val="30"/>
          <w:szCs w:val="30"/>
          <w:highlight w:val="none"/>
          <w:lang w:eastAsia="zh-CN"/>
        </w:rPr>
      </w:pPr>
      <w:r>
        <w:rPr>
          <w:rFonts w:hint="eastAsia" w:ascii="仿宋" w:hAnsi="仿宋" w:eastAsia="仿宋" w:cs="仿宋"/>
          <w:b/>
          <w:bCs/>
          <w:color w:val="auto"/>
          <w:w w:val="100"/>
          <w:sz w:val="30"/>
          <w:szCs w:val="30"/>
          <w:highlight w:val="none"/>
          <w:lang w:eastAsia="zh-CN"/>
        </w:rPr>
        <w:t>考古工地价值评估及意见：</w:t>
      </w:r>
    </w:p>
    <w:p w14:paraId="0917BB90">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根据以上考古调查勘探结果，项目用地范围内未发现需要进一步开展考古发掘或原址保护的古代文化遗存。本次勘探对于今后在这一区域的考古工作具有一定的借鉴意义。</w:t>
      </w:r>
    </w:p>
    <w:p w14:paraId="0DA836F1">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本次考古调查勘探工作完成后，</w:t>
      </w:r>
      <w:r>
        <w:rPr>
          <w:rFonts w:hint="eastAsia" w:ascii="宋体" w:hAnsi="宋体" w:cs="宋体"/>
          <w:color w:val="auto"/>
          <w:sz w:val="24"/>
          <w:szCs w:val="24"/>
          <w:highlight w:val="none"/>
          <w:lang w:val="en-US" w:eastAsia="zh-CN"/>
        </w:rPr>
        <w:t>收储单位可以继续按规定完善土地出让的手续。</w:t>
      </w:r>
    </w:p>
    <w:p w14:paraId="60D2585B">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于地下堆积的形成、地面遗存的分布，存在一定的特殊性和不确定性，且本次考古勘探是对重点区域采取普通勘探的方式，勘探范围未能覆盖全部区域。后续在建设施工过程中，如发现文物或者疑似文物，建设、施工方应当立即停止施工，保护好现场，并立即报告当地文物行政部门。</w:t>
      </w:r>
    </w:p>
    <w:p w14:paraId="25D513F9">
      <w:pPr>
        <w:keepNext w:val="0"/>
        <w:keepLines w:val="0"/>
        <w:pageBreakBefore w:val="0"/>
        <w:widowControl w:val="0"/>
        <w:kinsoku/>
        <w:wordWrap/>
        <w:overflowPunct/>
        <w:topLinePunct w:val="0"/>
        <w:autoSpaceDE w:val="0"/>
        <w:autoSpaceDN w:val="0"/>
        <w:bidi w:val="0"/>
        <w:adjustRightInd w:val="0"/>
        <w:snapToGrid/>
        <w:spacing w:line="800" w:lineRule="exact"/>
        <w:ind w:left="0" w:leftChars="0" w:right="0" w:rightChars="0" w:firstLine="0"/>
        <w:jc w:val="left"/>
        <w:textAlignment w:val="auto"/>
        <w:outlineLvl w:val="9"/>
        <w:rPr>
          <w:rFonts w:ascii="楷体" w:hAnsi="Times New Roman" w:eastAsia="楷体" w:cs="楷体"/>
          <w:b/>
          <w:color w:val="auto"/>
          <w:sz w:val="30"/>
          <w:szCs w:val="30"/>
          <w:lang w:eastAsia="zh-CN" w:bidi="ar-SA"/>
        </w:rPr>
      </w:pPr>
      <w:r>
        <w:rPr>
          <w:rFonts w:hint="eastAsia" w:ascii="宋体" w:hAnsi="Times New Roman" w:cs="宋体"/>
          <w:b/>
          <w:color w:val="auto"/>
          <w:sz w:val="28"/>
          <w:szCs w:val="28"/>
          <w:lang w:eastAsia="zh-CN" w:bidi="ar-SA"/>
        </w:rPr>
        <w:t>报告编写：</w:t>
      </w:r>
    </w:p>
    <w:p w14:paraId="2E4CBF64">
      <w:pPr>
        <w:keepNext w:val="0"/>
        <w:keepLines w:val="0"/>
        <w:pageBreakBefore w:val="0"/>
        <w:widowControl w:val="0"/>
        <w:kinsoku/>
        <w:wordWrap/>
        <w:overflowPunct/>
        <w:topLinePunct w:val="0"/>
        <w:autoSpaceDE w:val="0"/>
        <w:autoSpaceDN w:val="0"/>
        <w:bidi w:val="0"/>
        <w:adjustRightInd w:val="0"/>
        <w:snapToGrid/>
        <w:spacing w:line="800" w:lineRule="exact"/>
        <w:ind w:left="0" w:leftChars="0" w:right="0" w:rightChars="0" w:firstLine="562" w:firstLineChars="200"/>
        <w:jc w:val="left"/>
        <w:textAlignment w:val="auto"/>
        <w:outlineLvl w:val="9"/>
        <w:rPr>
          <w:rFonts w:ascii="宋体" w:hAnsi="Times New Roman" w:cs="宋体"/>
          <w:b/>
          <w:color w:val="auto"/>
          <w:sz w:val="28"/>
          <w:szCs w:val="28"/>
          <w:lang w:eastAsia="zh-CN" w:bidi="ar-SA"/>
        </w:rPr>
      </w:pPr>
      <w:r>
        <w:rPr>
          <w:rFonts w:hint="eastAsia" w:ascii="宋体" w:hAnsi="Times New Roman" w:cs="宋体"/>
          <w:b/>
          <w:color w:val="auto"/>
          <w:sz w:val="28"/>
          <w:szCs w:val="28"/>
          <w:lang w:eastAsia="zh-CN" w:bidi="ar-SA"/>
        </w:rPr>
        <w:t xml:space="preserve">审核：                            </w:t>
      </w:r>
    </w:p>
    <w:p w14:paraId="238B04F6">
      <w:pPr>
        <w:keepNext w:val="0"/>
        <w:keepLines w:val="0"/>
        <w:pageBreakBefore w:val="0"/>
        <w:widowControl w:val="0"/>
        <w:kinsoku/>
        <w:wordWrap/>
        <w:overflowPunct/>
        <w:topLinePunct w:val="0"/>
        <w:autoSpaceDE w:val="0"/>
        <w:autoSpaceDN w:val="0"/>
        <w:bidi w:val="0"/>
        <w:adjustRightInd w:val="0"/>
        <w:snapToGrid/>
        <w:spacing w:line="800" w:lineRule="exact"/>
        <w:ind w:left="0" w:leftChars="0" w:right="0" w:rightChars="0" w:firstLine="562" w:firstLineChars="200"/>
        <w:jc w:val="left"/>
        <w:textAlignment w:val="auto"/>
        <w:outlineLvl w:val="9"/>
        <w:rPr>
          <w:rFonts w:hint="eastAsia" w:ascii="宋体" w:hAnsi="Times New Roman" w:cs="宋体"/>
          <w:b/>
          <w:color w:val="auto"/>
          <w:sz w:val="28"/>
          <w:szCs w:val="28"/>
          <w:lang w:eastAsia="zh-CN" w:bidi="ar-SA"/>
        </w:rPr>
      </w:pPr>
      <w:r>
        <w:rPr>
          <w:rFonts w:hint="eastAsia" w:ascii="宋体" w:hAnsi="Times New Roman" w:cs="宋体"/>
          <w:b/>
          <w:color w:val="auto"/>
          <w:sz w:val="28"/>
          <w:szCs w:val="28"/>
          <w:lang w:eastAsia="zh-CN" w:bidi="ar-SA"/>
        </w:rPr>
        <w:t>日期：</w:t>
      </w:r>
      <w:r>
        <w:rPr>
          <w:rFonts w:hint="eastAsia" w:ascii="宋体" w:hAnsi="Times New Roman" w:cs="宋体"/>
          <w:b/>
          <w:color w:val="auto"/>
          <w:sz w:val="28"/>
          <w:szCs w:val="28"/>
          <w:lang w:val="en-US" w:eastAsia="zh-CN" w:bidi="ar-SA"/>
        </w:rPr>
        <w:t xml:space="preserve">                            </w:t>
      </w:r>
    </w:p>
    <w:p w14:paraId="463FE796">
      <w:pPr>
        <w:pStyle w:val="17"/>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imes New Roman"/>
          <w:color w:val="auto"/>
          <w:sz w:val="44"/>
          <w:szCs w:val="44"/>
          <w:highlight w:val="none"/>
          <w:lang w:val="en-US" w:eastAsia="en-US" w:bidi="en-US"/>
        </w:rPr>
        <w:id w:val="147477394"/>
        <w15:color w:val="DBDBDB"/>
      </w:sdtPr>
      <w:sdtEndPr>
        <w:rPr>
          <w:rFonts w:hint="eastAsia" w:ascii="宋体" w:hAnsi="宋体" w:eastAsia="宋体" w:cs="宋体"/>
          <w:b w:val="0"/>
          <w:bCs w:val="0"/>
          <w:color w:val="auto"/>
          <w:sz w:val="24"/>
          <w:szCs w:val="24"/>
          <w:highlight w:val="yellow"/>
          <w:lang w:val="en-US" w:eastAsia="en-US" w:bidi="en-US"/>
        </w:rPr>
      </w:sdtEndPr>
      <w:sdtContent>
        <w:sdt>
          <w:sdtPr>
            <w:rPr>
              <w:rFonts w:ascii="宋体" w:hAnsi="宋体" w:eastAsia="宋体" w:cs="Times New Roman"/>
              <w:color w:val="auto"/>
              <w:sz w:val="44"/>
              <w:szCs w:val="44"/>
              <w:highlight w:val="none"/>
              <w:lang w:val="en-US" w:eastAsia="en-US" w:bidi="en-US"/>
            </w:rPr>
            <w:id w:val="147454662"/>
            <w15:color w:val="DBDBDB"/>
          </w:sdtPr>
          <w:sdtEndPr>
            <w:rPr>
              <w:rFonts w:hint="eastAsia" w:ascii="宋体" w:hAnsi="宋体" w:eastAsia="宋体" w:cs="宋体"/>
              <w:b w:val="0"/>
              <w:bCs w:val="0"/>
              <w:color w:val="auto"/>
              <w:sz w:val="28"/>
              <w:szCs w:val="28"/>
              <w:highlight w:val="yellow"/>
              <w:lang w:val="en-US" w:eastAsia="en-US" w:bidi="en-US"/>
            </w:rPr>
          </w:sdtEndPr>
          <w:sdtContent>
            <w:p w14:paraId="4BBCF73D">
              <w:pPr>
                <w:spacing w:before="0" w:beforeLines="0" w:after="0" w:afterLines="0" w:line="240" w:lineRule="auto"/>
                <w:ind w:left="0" w:leftChars="0" w:right="0" w:rightChars="0" w:firstLine="0" w:firstLineChars="0"/>
                <w:jc w:val="center"/>
                <w:rPr>
                  <w:color w:val="auto"/>
                  <w:sz w:val="44"/>
                  <w:szCs w:val="44"/>
                  <w:highlight w:val="none"/>
                </w:rPr>
              </w:pPr>
              <w:bookmarkStart w:id="18" w:name="_Toc1019"/>
              <w:bookmarkStart w:id="19" w:name="_Toc23455"/>
              <w:bookmarkStart w:id="20" w:name="_Toc15226"/>
              <w:bookmarkStart w:id="21" w:name="_Toc15543"/>
              <w:bookmarkStart w:id="22" w:name="_Toc5951"/>
              <w:bookmarkStart w:id="23" w:name="_Toc8094_WPSOffice_Level1"/>
              <w:bookmarkStart w:id="24" w:name="_Toc28396"/>
              <w:r>
                <w:rPr>
                  <w:rFonts w:ascii="宋体" w:hAnsi="宋体" w:eastAsia="宋体"/>
                  <w:color w:val="auto"/>
                  <w:sz w:val="44"/>
                  <w:szCs w:val="44"/>
                  <w:highlight w:val="none"/>
                </w:rPr>
                <w:t>目</w:t>
              </w:r>
              <w:r>
                <w:rPr>
                  <w:rFonts w:hint="eastAsia" w:ascii="宋体" w:hAnsi="宋体"/>
                  <w:color w:val="auto"/>
                  <w:sz w:val="44"/>
                  <w:szCs w:val="44"/>
                  <w:highlight w:val="none"/>
                  <w:lang w:val="en-US" w:eastAsia="zh-CN"/>
                </w:rPr>
                <w:t xml:space="preserve"> </w:t>
              </w:r>
              <w:r>
                <w:rPr>
                  <w:rFonts w:ascii="宋体" w:hAnsi="宋体" w:eastAsia="宋体"/>
                  <w:color w:val="auto"/>
                  <w:sz w:val="44"/>
                  <w:szCs w:val="44"/>
                  <w:highlight w:val="none"/>
                </w:rPr>
                <w:t>录</w:t>
              </w:r>
            </w:p>
            <w:p w14:paraId="78A23443">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 w:val="0"/>
                  <w:bCs w:val="0"/>
                  <w:color w:val="auto"/>
                  <w:sz w:val="28"/>
                  <w:szCs w:val="28"/>
                </w:rPr>
                <w:fldChar w:fldCharType="begin"/>
              </w:r>
              <w:r>
                <w:rPr>
                  <w:rFonts w:hint="eastAsia" w:ascii="宋体" w:hAnsi="宋体" w:eastAsia="宋体" w:cs="宋体"/>
                  <w:b w:val="0"/>
                  <w:bCs w:val="0"/>
                  <w:color w:val="auto"/>
                  <w:sz w:val="28"/>
                  <w:szCs w:val="28"/>
                </w:rPr>
                <w:instrText xml:space="preserve">TOC \o "1-2" \h \u </w:instrText>
              </w:r>
              <w:r>
                <w:rPr>
                  <w:rFonts w:hint="eastAsia" w:ascii="宋体" w:hAnsi="宋体" w:eastAsia="宋体" w:cs="宋体"/>
                  <w:b w:val="0"/>
                  <w:bCs w:val="0"/>
                  <w:color w:val="auto"/>
                  <w:sz w:val="28"/>
                  <w:szCs w:val="28"/>
                </w:rPr>
                <w:fldChar w:fldCharType="separate"/>
              </w: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_Toc19336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一、项目概况</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_Toc19336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1006374">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_Toc14340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二、考古调查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_Toc14340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712EDE62">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_Toc32556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（一）工作方法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_Toc32556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42691039">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_Toc3596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（二）历史文献及周边考古成果调查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_Toc3596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609071E">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_Toc21968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（三）现场调查</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_Toc21968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052B92FB">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_Toc32009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三、考古勘探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_Toc32009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23</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54F860D">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_Toc14524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（一）勘探队伍组成</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_Toc14524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23</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37F9844">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_Toc10943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（二）工作方法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_Toc10943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24</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49D09BA7">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_Toc31190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（三）工作步骤</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_Toc31190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CE1CA37">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_Toc8157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（四）探孔勘探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_Toc8157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234E4732">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_Toc11218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（五）探沟勘探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_Toc11218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74A924BD">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_Toc9738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lang w:val="en-US" w:eastAsia="zh-CN"/>
                </w:rPr>
                <w:t>（六）剖面勘探</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_Toc9738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45</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7B166853">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_Toc21644 </w:instrText>
              </w:r>
              <w:r>
                <w:rPr>
                  <w:rFonts w:hint="eastAsia" w:ascii="宋体" w:hAnsi="宋体" w:eastAsia="宋体" w:cs="宋体"/>
                  <w:bCs w:val="0"/>
                  <w:color w:val="auto"/>
                  <w:sz w:val="28"/>
                  <w:szCs w:val="28"/>
                </w:rPr>
                <w:fldChar w:fldCharType="separate"/>
              </w:r>
              <w:r>
                <w:rPr>
                  <w:rFonts w:hint="eastAsia" w:ascii="宋体" w:hAnsi="宋体" w:eastAsia="宋体" w:cs="宋体"/>
                  <w:color w:val="auto"/>
                  <w:sz w:val="28"/>
                  <w:szCs w:val="28"/>
                  <w:lang w:val="zh-CN" w:eastAsia="zh-CN"/>
                </w:rPr>
                <w:t>四、考古调查勘探结果和文物保护意见</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_Toc21644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AF1297E">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_Toc19253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rPr>
                <w:t>（一）考古调查勘探结果</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_Toc19253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62FCB4C">
              <w:pPr>
                <w:pStyle w:val="14"/>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_Toc5019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sz w:val="28"/>
                  <w:szCs w:val="28"/>
                  <w:highlight w:val="none"/>
                </w:rPr>
                <w:t>（二）文物保护意见</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_Toc5019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47</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55A39822">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_Toc23672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0"/>
                  <w:sz w:val="28"/>
                  <w:szCs w:val="28"/>
                  <w:highlight w:val="none"/>
                  <w:lang w:val="en-US" w:eastAsia="zh-CN" w:bidi="en-US"/>
                </w:rPr>
                <w:t>附表一  增城区增江街五星村38.548亩地块探孔</w:t>
              </w:r>
              <w:r>
                <w:rPr>
                  <w:rFonts w:hint="eastAsia" w:ascii="宋体" w:hAnsi="宋体" w:eastAsia="宋体" w:cs="宋体"/>
                  <w:bCs/>
                  <w:color w:val="auto"/>
                  <w:kern w:val="0"/>
                  <w:sz w:val="28"/>
                  <w:szCs w:val="28"/>
                  <w:highlight w:val="none"/>
                  <w:lang w:val="en-US" w:eastAsia="en-US" w:bidi="en-US"/>
                </w:rPr>
                <w:t>登记表</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_Toc23672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48</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34F34EBD">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bCs/>
                  <w:color w:val="auto"/>
                  <w:kern w:val="0"/>
                  <w:sz w:val="28"/>
                  <w:szCs w:val="28"/>
                  <w:lang w:val="en-US" w:eastAsia="zh-CN" w:bidi="en-US"/>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_Toc26145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0"/>
                  <w:sz w:val="28"/>
                  <w:szCs w:val="28"/>
                  <w:lang w:val="en-US" w:eastAsia="zh-CN" w:bidi="en-US"/>
                </w:rPr>
                <w:t>附录一  广州市文物局关于增城区2025年度第二批地块考古调查勘探</w:t>
              </w:r>
            </w:p>
            <w:p w14:paraId="476BDBFE">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ind w:firstLine="1576" w:firstLineChars="563"/>
                <w:textAlignment w:val="auto"/>
                <w:rPr>
                  <w:rFonts w:hint="eastAsia" w:ascii="宋体" w:hAnsi="宋体" w:eastAsia="宋体" w:cs="宋体"/>
                  <w:color w:val="auto"/>
                  <w:sz w:val="28"/>
                  <w:szCs w:val="28"/>
                </w:rPr>
              </w:pPr>
              <w:r>
                <w:rPr>
                  <w:rFonts w:hint="eastAsia" w:ascii="宋体" w:hAnsi="宋体" w:eastAsia="宋体" w:cs="宋体"/>
                  <w:bCs/>
                  <w:color w:val="auto"/>
                  <w:kern w:val="0"/>
                  <w:sz w:val="28"/>
                  <w:szCs w:val="28"/>
                  <w:lang w:val="en-US" w:eastAsia="zh-CN" w:bidi="en-US"/>
                </w:rPr>
                <w:t>工作的复函</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_Toc26145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49</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06F4A2D8">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_Toc32023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0"/>
                  <w:sz w:val="28"/>
                  <w:szCs w:val="28"/>
                  <w:lang w:val="en-US" w:eastAsia="zh-CN" w:bidi="en-US"/>
                </w:rPr>
                <w:t>附录二  广州市文物考古研究院考古发掘资质证书</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_Toc32023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51</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6BD7263">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_Toc14937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44"/>
                  <w:sz w:val="28"/>
                  <w:szCs w:val="28"/>
                  <w:lang w:val="en-US" w:eastAsia="zh-CN" w:bidi="en-US"/>
                </w:rPr>
                <w:t>附录三  文物保护法规（节选）</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_Toc14937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52</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7B7CE89">
              <w:pPr>
                <w:pStyle w:val="11"/>
                <w:keepNext w:val="0"/>
                <w:keepLines w:val="0"/>
                <w:pageBreakBefore w:val="0"/>
                <w:widowControl/>
                <w:tabs>
                  <w:tab w:val="right" w:leader="dot" w:pos="88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bCs w:val="0"/>
                  <w:color w:val="auto"/>
                  <w:sz w:val="28"/>
                  <w:szCs w:val="28"/>
                </w:rPr>
                <w:fldChar w:fldCharType="begin"/>
              </w:r>
              <w:r>
                <w:rPr>
                  <w:rFonts w:hint="eastAsia" w:ascii="宋体" w:hAnsi="宋体" w:eastAsia="宋体" w:cs="宋体"/>
                  <w:bCs w:val="0"/>
                  <w:color w:val="auto"/>
                  <w:sz w:val="28"/>
                  <w:szCs w:val="28"/>
                </w:rPr>
                <w:instrText xml:space="preserve"> HYPERLINK \l _Toc25174 </w:instrText>
              </w:r>
              <w:r>
                <w:rPr>
                  <w:rFonts w:hint="eastAsia" w:ascii="宋体" w:hAnsi="宋体" w:eastAsia="宋体" w:cs="宋体"/>
                  <w:bCs w:val="0"/>
                  <w:color w:val="auto"/>
                  <w:sz w:val="28"/>
                  <w:szCs w:val="28"/>
                </w:rPr>
                <w:fldChar w:fldCharType="separate"/>
              </w:r>
              <w:r>
                <w:rPr>
                  <w:rFonts w:hint="eastAsia" w:ascii="宋体" w:hAnsi="宋体" w:eastAsia="宋体" w:cs="宋体"/>
                  <w:bCs/>
                  <w:color w:val="auto"/>
                  <w:kern w:val="44"/>
                  <w:sz w:val="28"/>
                  <w:szCs w:val="28"/>
                  <w:lang w:val="en-US" w:eastAsia="zh-CN" w:bidi="en-US"/>
                </w:rPr>
                <w:t>附录四  关于本报告使用的专业术语、概念和标准的说明</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_Toc25174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56</w:t>
              </w:r>
              <w:r>
                <w:rPr>
                  <w:rFonts w:hint="eastAsia" w:ascii="宋体" w:hAnsi="宋体" w:eastAsia="宋体" w:cs="宋体"/>
                  <w:color w:val="auto"/>
                  <w:sz w:val="28"/>
                  <w:szCs w:val="28"/>
                </w:rPr>
                <w:fldChar w:fldCharType="end"/>
              </w:r>
              <w:r>
                <w:rPr>
                  <w:rFonts w:hint="eastAsia" w:ascii="宋体" w:hAnsi="宋体" w:eastAsia="宋体" w:cs="宋体"/>
                  <w:bCs w:val="0"/>
                  <w:color w:val="auto"/>
                  <w:sz w:val="28"/>
                  <w:szCs w:val="28"/>
                </w:rPr>
                <w:fldChar w:fldCharType="end"/>
              </w:r>
            </w:p>
            <w:p w14:paraId="6E1D2388">
              <w:pPr>
                <w:keepNext w:val="0"/>
                <w:keepLines w:val="0"/>
                <w:pageBreakBefore w:val="0"/>
                <w:widowControl/>
                <w:kinsoku/>
                <w:wordWrap/>
                <w:overflowPunct/>
                <w:topLinePunct w:val="0"/>
                <w:autoSpaceDE/>
                <w:autoSpaceDN/>
                <w:bidi w:val="0"/>
                <w:adjustRightInd/>
                <w:snapToGrid/>
                <w:spacing w:line="360" w:lineRule="auto"/>
                <w:ind w:firstLine="363"/>
                <w:textAlignment w:val="auto"/>
                <w:rPr>
                  <w:rFonts w:hint="eastAsia" w:ascii="宋体" w:hAnsi="宋体" w:eastAsia="宋体" w:cs="宋体"/>
                  <w:b w:val="0"/>
                  <w:bCs w:val="0"/>
                  <w:color w:val="auto"/>
                  <w:sz w:val="28"/>
                  <w:szCs w:val="28"/>
                  <w:lang w:val="en-US" w:eastAsia="en-US" w:bidi="en-US"/>
                </w:rPr>
              </w:pPr>
              <w:r>
                <w:rPr>
                  <w:rFonts w:hint="eastAsia" w:ascii="宋体" w:hAnsi="宋体" w:eastAsia="宋体" w:cs="宋体"/>
                  <w:bCs w:val="0"/>
                  <w:color w:val="auto"/>
                  <w:sz w:val="28"/>
                  <w:szCs w:val="28"/>
                </w:rPr>
                <w:fldChar w:fldCharType="end"/>
              </w:r>
            </w:p>
          </w:sdtContent>
        </w:sdt>
        <w:p w14:paraId="050E0CA4">
          <w:pPr>
            <w:spacing w:line="360" w:lineRule="auto"/>
            <w:ind w:firstLine="360" w:firstLineChars="0"/>
            <w:rPr>
              <w:color w:val="auto"/>
            </w:rPr>
          </w:pPr>
          <w:bookmarkStart w:id="25" w:name="_Toc813978613"/>
        </w:p>
      </w:sdtContent>
    </w:sdt>
    <w:p w14:paraId="64F75FFA">
      <w:pPr>
        <w:pStyle w:val="2"/>
        <w:pageBreakBefore w:val="0"/>
        <w:kinsoku/>
        <w:wordWrap/>
        <w:overflowPunct/>
        <w:topLinePunct w:val="0"/>
        <w:autoSpaceDE/>
        <w:autoSpaceDN/>
        <w:bidi w:val="0"/>
        <w:adjustRightInd/>
        <w:snapToGrid/>
        <w:spacing w:before="30" w:after="30" w:line="360" w:lineRule="auto"/>
        <w:jc w:val="center"/>
        <w:textAlignment w:val="auto"/>
        <w:rPr>
          <w:rFonts w:hint="eastAsia"/>
          <w:color w:val="auto"/>
          <w:sz w:val="28"/>
          <w:szCs w:val="28"/>
          <w:lang w:val="zh-CN" w:eastAsia="zh-CN"/>
        </w:rPr>
        <w:sectPr>
          <w:footerReference r:id="rId4" w:type="default"/>
          <w:pgSz w:w="11850" w:h="16783"/>
          <w:pgMar w:top="1520" w:right="1300" w:bottom="1160" w:left="1680" w:header="0" w:footer="977" w:gutter="0"/>
          <w:pgBorders>
            <w:top w:val="none" w:sz="0" w:space="0"/>
            <w:left w:val="none" w:sz="0" w:space="0"/>
            <w:bottom w:val="none" w:sz="0" w:space="0"/>
            <w:right w:val="none" w:sz="0" w:space="0"/>
          </w:pgBorders>
          <w:pgNumType w:fmt="decimal"/>
          <w:cols w:equalWidth="0" w:num="1">
            <w:col w:w="8870"/>
          </w:cols>
        </w:sectPr>
      </w:pPr>
    </w:p>
    <w:p w14:paraId="7595BD73">
      <w:pPr>
        <w:pStyle w:val="2"/>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26" w:name="_Toc19336"/>
      <w:r>
        <w:rPr>
          <w:rFonts w:hint="eastAsia" w:eastAsia="宋体"/>
          <w:color w:val="auto"/>
          <w:sz w:val="28"/>
          <w:szCs w:val="28"/>
          <w:lang w:val="zh-CN" w:eastAsia="zh-CN"/>
        </w:rPr>
        <w:t>一、项目概况</w:t>
      </w:r>
      <w:bookmarkEnd w:id="18"/>
      <w:bookmarkEnd w:id="19"/>
      <w:bookmarkEnd w:id="25"/>
      <w:bookmarkEnd w:id="26"/>
    </w:p>
    <w:bookmarkEnd w:id="20"/>
    <w:bookmarkEnd w:id="21"/>
    <w:bookmarkEnd w:id="22"/>
    <w:bookmarkEnd w:id="23"/>
    <w:bookmarkEnd w:id="24"/>
    <w:p w14:paraId="1CC11851">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cs="宋体"/>
          <w:color w:val="auto"/>
          <w:sz w:val="24"/>
          <w:szCs w:val="24"/>
          <w:highlight w:val="none"/>
        </w:rPr>
      </w:pPr>
      <w:bookmarkStart w:id="27" w:name="_Hlk43302078"/>
      <w:bookmarkStart w:id="28" w:name="_Toc11327"/>
      <w:bookmarkStart w:id="29" w:name="_Toc31851"/>
      <w:bookmarkStart w:id="30" w:name="_Toc9438"/>
      <w:bookmarkStart w:id="31" w:name="_Toc21768_WPSOffice_Level1"/>
      <w:r>
        <w:rPr>
          <w:rFonts w:hint="eastAsia" w:ascii="宋体" w:hAnsi="宋体" w:cs="宋体"/>
          <w:color w:val="auto"/>
          <w:sz w:val="24"/>
          <w:szCs w:val="24"/>
          <w:lang w:val="en-US" w:eastAsia="zh-CN"/>
        </w:rPr>
        <w:t>增城区增江街五星村38.548亩地块</w:t>
      </w:r>
      <w:r>
        <w:rPr>
          <w:rFonts w:hint="eastAsia" w:ascii="宋体" w:hAnsi="宋体" w:cs="宋体"/>
          <w:color w:val="auto"/>
          <w:sz w:val="24"/>
          <w:szCs w:val="24"/>
          <w:lang w:val="zh-CN" w:eastAsia="zh-CN"/>
        </w:rPr>
        <w:t>位于</w:t>
      </w:r>
      <w:r>
        <w:rPr>
          <w:rFonts w:hint="eastAsia" w:ascii="宋体" w:hAnsi="宋体" w:cs="宋体"/>
          <w:color w:val="auto"/>
          <w:sz w:val="24"/>
          <w:szCs w:val="24"/>
          <w:lang w:val="en-US" w:eastAsia="zh-CN"/>
        </w:rPr>
        <w:t>增城区增江街五星村西南部，</w:t>
      </w:r>
      <w:r>
        <w:rPr>
          <w:rFonts w:hint="eastAsia" w:ascii="宋体" w:hAnsi="宋体" w:eastAsia="宋体" w:cs="宋体"/>
          <w:bCs/>
          <w:color w:val="auto"/>
          <w:kern w:val="36"/>
          <w:sz w:val="24"/>
          <w:szCs w:val="24"/>
          <w:lang w:val="en-US" w:eastAsia="zh-CN"/>
        </w:rPr>
        <w:t>增城区北绕线西侧，蕉石岭森林公园东北部</w:t>
      </w:r>
      <w:r>
        <w:rPr>
          <w:rFonts w:hint="eastAsia" w:ascii="宋体" w:hAnsi="宋体" w:cs="宋体"/>
          <w:color w:val="auto"/>
          <w:sz w:val="24"/>
          <w:szCs w:val="24"/>
          <w:lang w:val="zh-CN" w:eastAsia="zh-CN"/>
        </w:rPr>
        <w:t>。该地块总面积25698.8平方米。</w:t>
      </w:r>
      <w:r>
        <w:rPr>
          <w:rFonts w:hint="eastAsia" w:ascii="宋体" w:hAnsi="宋体" w:cs="宋体"/>
          <w:color w:val="auto"/>
          <w:sz w:val="24"/>
          <w:szCs w:val="24"/>
          <w:highlight w:val="none"/>
        </w:rPr>
        <w:t>由</w:t>
      </w:r>
      <w:r>
        <w:rPr>
          <w:rFonts w:hint="eastAsia" w:ascii="宋体" w:hAnsi="宋体" w:cs="宋体"/>
          <w:color w:val="auto"/>
          <w:sz w:val="24"/>
          <w:szCs w:val="24"/>
          <w:highlight w:val="none"/>
          <w:lang w:val="en-US" w:eastAsia="zh-CN"/>
        </w:rPr>
        <w:t>广州市增城区土地开发储备中心</w:t>
      </w:r>
      <w:r>
        <w:rPr>
          <w:rFonts w:hint="eastAsia" w:ascii="宋体" w:hAnsi="宋体" w:cs="宋体"/>
          <w:color w:val="auto"/>
          <w:sz w:val="24"/>
          <w:szCs w:val="24"/>
          <w:highlight w:val="none"/>
        </w:rPr>
        <w:t>负责</w:t>
      </w:r>
      <w:r>
        <w:rPr>
          <w:rFonts w:hint="eastAsia" w:ascii="宋体" w:hAnsi="宋体" w:cs="宋体"/>
          <w:color w:val="auto"/>
          <w:sz w:val="24"/>
          <w:szCs w:val="24"/>
          <w:highlight w:val="none"/>
          <w:lang w:val="en-US" w:eastAsia="zh-CN"/>
        </w:rPr>
        <w:t>收储出让</w:t>
      </w:r>
      <w:r>
        <w:rPr>
          <w:rFonts w:hint="eastAsia" w:ascii="宋体" w:hAnsi="宋体" w:cs="宋体"/>
          <w:color w:val="auto"/>
          <w:sz w:val="24"/>
          <w:szCs w:val="24"/>
          <w:highlight w:val="none"/>
        </w:rPr>
        <w:t>。</w:t>
      </w:r>
    </w:p>
    <w:p w14:paraId="008D4BEA">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项目地块四至坐标分别为：西南角（X：2577161.9312，Y：486071.9930）；东南角（X：2577249.0472，Y：486218.9825）；东北角（X：2577432.4697，Y：486030.4000）；西北角（X：2577219.3092，Y：486020.5584）。</w:t>
      </w:r>
    </w:p>
    <w:p w14:paraId="2BC116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yellow"/>
        </w:rPr>
      </w:pPr>
      <w:r>
        <w:rPr>
          <w:rFonts w:hint="eastAsia" w:ascii="宋体" w:hAnsi="宋体" w:cs="宋体"/>
          <w:color w:val="auto"/>
          <w:sz w:val="24"/>
          <w:szCs w:val="24"/>
        </w:rPr>
        <w:t>根据《中华人民共和国文物保护法》《广州市文物保护规定》，</w:t>
      </w:r>
      <w:r>
        <w:rPr>
          <w:rFonts w:hint="eastAsia" w:ascii="宋体" w:hAnsi="宋体" w:cs="宋体"/>
          <w:bCs/>
          <w:color w:val="auto"/>
          <w:sz w:val="24"/>
          <w:szCs w:val="24"/>
          <w:highlight w:val="none"/>
        </w:rPr>
        <w:t>按照</w:t>
      </w:r>
      <w:r>
        <w:rPr>
          <w:rFonts w:hint="eastAsia" w:ascii="宋体" w:hAnsi="宋体" w:cs="宋体"/>
          <w:bCs/>
          <w:color w:val="auto"/>
          <w:kern w:val="36"/>
          <w:sz w:val="24"/>
          <w:szCs w:val="24"/>
          <w:lang w:val="en-US" w:eastAsia="zh-CN"/>
        </w:rPr>
        <w:t>《广州市文物局关于增城区2025年度第二批地块考古调查勘探工作的复函》（文物20250354号）</w:t>
      </w:r>
      <w:r>
        <w:rPr>
          <w:rFonts w:hint="eastAsia" w:ascii="宋体" w:hAnsi="宋体" w:cs="宋体"/>
          <w:bCs/>
          <w:color w:val="auto"/>
          <w:sz w:val="24"/>
          <w:szCs w:val="24"/>
          <w:highlight w:val="none"/>
          <w:lang w:val="en-US" w:eastAsia="zh-CN"/>
        </w:rPr>
        <w:t>的指导意见</w:t>
      </w:r>
      <w:r>
        <w:rPr>
          <w:rFonts w:hint="eastAsia" w:ascii="宋体" w:hAnsi="宋体" w:cs="宋体"/>
          <w:bCs/>
          <w:color w:val="auto"/>
          <w:sz w:val="24"/>
          <w:szCs w:val="24"/>
          <w:highlight w:val="none"/>
        </w:rPr>
        <w:t>，受</w:t>
      </w:r>
      <w:r>
        <w:rPr>
          <w:rFonts w:hint="eastAsia" w:ascii="宋体" w:hAnsi="宋体" w:cs="宋体"/>
          <w:bCs/>
          <w:color w:val="auto"/>
          <w:sz w:val="24"/>
          <w:szCs w:val="24"/>
          <w:highlight w:val="none"/>
          <w:lang w:val="en-US" w:eastAsia="zh-CN"/>
        </w:rPr>
        <w:t>广州市增城区土地开发储备中心</w:t>
      </w:r>
      <w:r>
        <w:rPr>
          <w:rFonts w:hint="eastAsia" w:ascii="宋体" w:hAnsi="宋体" w:cs="宋体"/>
          <w:bCs/>
          <w:color w:val="auto"/>
          <w:sz w:val="24"/>
          <w:szCs w:val="24"/>
          <w:highlight w:val="none"/>
        </w:rPr>
        <w:t>的委托，</w:t>
      </w:r>
      <w:r>
        <w:rPr>
          <w:rFonts w:hint="eastAsia" w:ascii="宋体" w:hAnsi="宋体" w:cs="宋体"/>
          <w:color w:val="auto"/>
          <w:sz w:val="24"/>
          <w:szCs w:val="24"/>
          <w:highlight w:val="none"/>
        </w:rPr>
        <w:t>由我院配合该项</w:t>
      </w:r>
      <w:r>
        <w:rPr>
          <w:rFonts w:hint="eastAsia" w:ascii="宋体" w:hAnsi="宋体" w:cs="宋体"/>
          <w:color w:val="auto"/>
          <w:sz w:val="24"/>
          <w:szCs w:val="24"/>
          <w:highlight w:val="none"/>
          <w:lang w:val="en-US" w:eastAsia="zh-CN"/>
        </w:rPr>
        <w:t>目出让</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对该地块进行考古调查、勘探工作。</w:t>
      </w:r>
    </w:p>
    <w:p w14:paraId="1F0F6A1C">
      <w:pPr>
        <w:pStyle w:val="5"/>
        <w:spacing w:line="0" w:lineRule="atLeast"/>
        <w:jc w:val="center"/>
        <w:rPr>
          <w:rFonts w:hint="eastAsia" w:ascii="黑体" w:hAnsi="黑体" w:eastAsia="黑体"/>
          <w:color w:val="auto"/>
          <w:sz w:val="21"/>
          <w:szCs w:val="21"/>
          <w:lang w:eastAsia="zh-CN"/>
        </w:rPr>
      </w:pPr>
      <w:r>
        <w:rPr>
          <w:rFonts w:hint="eastAsia" w:ascii="黑体" w:hAnsi="黑体" w:eastAsia="黑体"/>
          <w:color w:val="auto"/>
          <w:sz w:val="21"/>
          <w:szCs w:val="21"/>
          <w:lang w:eastAsia="zh-CN"/>
        </w:rPr>
        <w:drawing>
          <wp:inline distT="0" distB="0" distL="114300" distR="114300">
            <wp:extent cx="3648075" cy="5039995"/>
            <wp:effectExtent l="9525" t="9525" r="19050" b="17780"/>
            <wp:docPr id="9" name="图片 9" descr="D:/1-小陈/1-上传/87-增城区增江街五星村38.548亩地块/增城区增江街五星村38.548亩地块/15、其他相关资料/其他/项目在广州市位置.jpg项目在广州市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1-小陈/1-上传/87-增城区增江街五星村38.548亩地块/增城区增江街五星村38.548亩地块/15、其他相关资料/其他/项目在广州市位置.jpg项目在广州市位置"/>
                    <pic:cNvPicPr>
                      <a:picLocks noChangeAspect="1"/>
                    </pic:cNvPicPr>
                  </pic:nvPicPr>
                  <pic:blipFill>
                    <a:blip r:embed="rId9"/>
                    <a:srcRect l="13" r="13"/>
                    <a:stretch>
                      <a:fillRect/>
                    </a:stretch>
                  </pic:blipFill>
                  <pic:spPr>
                    <a:xfrm>
                      <a:off x="0" y="0"/>
                      <a:ext cx="3648075" cy="5039995"/>
                    </a:xfrm>
                    <a:prstGeom prst="rect">
                      <a:avLst/>
                    </a:prstGeom>
                    <a:ln>
                      <a:solidFill>
                        <a:schemeClr val="tx1"/>
                      </a:solidFill>
                    </a:ln>
                  </pic:spPr>
                </pic:pic>
              </a:graphicData>
            </a:graphic>
          </wp:inline>
        </w:drawing>
      </w:r>
    </w:p>
    <w:p w14:paraId="3935CB2A">
      <w:pPr>
        <w:pStyle w:val="5"/>
        <w:spacing w:line="0" w:lineRule="atLeast"/>
        <w:jc w:val="center"/>
        <w:rPr>
          <w:rFonts w:hint="eastAsia" w:ascii="黑体" w:hAnsi="黑体" w:eastAsia="黑体" w:cs="黑体"/>
          <w:color w:val="auto"/>
          <w:sz w:val="21"/>
          <w:szCs w:val="21"/>
          <w:highlight w:val="none"/>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1</w:t>
      </w:r>
      <w:r>
        <w:rPr>
          <w:rFonts w:hint="eastAsia" w:ascii="黑体" w:hAnsi="黑体" w:eastAsia="黑体" w:cs="黑体"/>
          <w:color w:val="auto"/>
        </w:rPr>
        <w:fldChar w:fldCharType="end"/>
      </w:r>
      <w:r>
        <w:rPr>
          <w:rFonts w:hint="eastAsia" w:ascii="黑体" w:hAnsi="黑体" w:eastAsia="黑体" w:cs="黑体"/>
          <w:color w:val="auto"/>
          <w:sz w:val="21"/>
          <w:szCs w:val="21"/>
          <w:highlight w:val="none"/>
          <w:lang w:val="en-US" w:eastAsia="zh-CN"/>
        </w:rPr>
        <w:t xml:space="preserve"> </w:t>
      </w:r>
      <w:r>
        <w:rPr>
          <w:rFonts w:hint="eastAsia" w:ascii="黑体" w:hAnsi="黑体" w:eastAsia="黑体" w:cs="黑体"/>
          <w:color w:val="auto"/>
          <w:sz w:val="21"/>
          <w:szCs w:val="21"/>
          <w:highlight w:val="none"/>
          <w:lang w:eastAsia="zh-CN"/>
        </w:rPr>
        <w:t xml:space="preserve"> </w:t>
      </w:r>
      <w:r>
        <w:rPr>
          <w:rFonts w:hint="eastAsia" w:ascii="黑体" w:hAnsi="黑体" w:eastAsia="黑体" w:cs="黑体"/>
          <w:color w:val="auto"/>
          <w:sz w:val="21"/>
          <w:szCs w:val="21"/>
          <w:highlight w:val="none"/>
          <w:lang w:val="en-US" w:eastAsia="zh-CN"/>
        </w:rPr>
        <w:t>项目地块</w:t>
      </w:r>
      <w:r>
        <w:rPr>
          <w:rFonts w:hint="eastAsia" w:ascii="黑体" w:hAnsi="黑体" w:eastAsia="黑体" w:cs="黑体"/>
          <w:color w:val="auto"/>
          <w:sz w:val="21"/>
          <w:szCs w:val="21"/>
          <w:highlight w:val="none"/>
        </w:rPr>
        <w:t>在广州市位置示意图（</w:t>
      </w:r>
      <w:r>
        <w:rPr>
          <w:rFonts w:hint="eastAsia" w:ascii="黑体" w:hAnsi="黑体" w:cs="黑体"/>
          <w:color w:val="auto"/>
          <w:sz w:val="21"/>
          <w:szCs w:val="21"/>
          <w:highlight w:val="none"/>
          <w:lang w:val="en-US" w:eastAsia="zh-CN"/>
        </w:rPr>
        <w:t>标准地图</w:t>
      </w:r>
      <w:r>
        <w:rPr>
          <w:rFonts w:hint="eastAsia" w:ascii="黑体" w:hAnsi="黑体" w:eastAsia="黑体" w:cs="黑体"/>
          <w:color w:val="auto"/>
          <w:sz w:val="21"/>
          <w:szCs w:val="21"/>
          <w:highlight w:val="none"/>
        </w:rPr>
        <w:t>）</w:t>
      </w:r>
    </w:p>
    <w:p w14:paraId="0A5E492C">
      <w:pPr>
        <w:rPr>
          <w:rFonts w:hint="eastAsia" w:ascii="黑体" w:hAnsi="黑体" w:eastAsia="黑体" w:cs="黑体"/>
          <w:color w:val="auto"/>
          <w:sz w:val="21"/>
          <w:szCs w:val="21"/>
        </w:rPr>
      </w:pPr>
      <w:r>
        <w:rPr>
          <w:rFonts w:hint="eastAsia" w:ascii="黑体" w:hAnsi="黑体" w:eastAsia="黑体" w:cs="黑体"/>
          <w:color w:val="auto"/>
          <w:sz w:val="21"/>
          <w:szCs w:val="21"/>
        </w:rPr>
        <w:br w:type="page"/>
      </w:r>
    </w:p>
    <w:p w14:paraId="1AA34938">
      <w:pPr>
        <w:pStyle w:val="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kern w:val="2"/>
          <w:sz w:val="21"/>
          <w:szCs w:val="20"/>
          <w:lang w:val="en-US" w:eastAsia="zh-CN" w:bidi="ar-SA"/>
        </w:rPr>
      </w:pPr>
    </w:p>
    <w:p w14:paraId="5DCFE87C">
      <w:pPr>
        <w:rPr>
          <w:rFonts w:hint="eastAsia"/>
          <w:color w:val="auto"/>
          <w:lang w:val="en-US" w:eastAsia="zh-CN"/>
        </w:rPr>
      </w:pPr>
    </w:p>
    <w:p w14:paraId="74E3B301">
      <w:pPr>
        <w:pStyle w:val="5"/>
        <w:spacing w:line="0" w:lineRule="atLeast"/>
        <w:jc w:val="cente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336540" cy="7371080"/>
            <wp:effectExtent l="9525" t="9525" r="26035" b="10795"/>
            <wp:docPr id="26" name="图片 26" descr="D:/1-小陈/1-上传/87-增城区增江街五星村38.548亩地块/增城区增江街五星村38.548亩地块/15、其他相关资料/其他/项目在增城区位置.jpg项目在增城区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1-小陈/1-上传/87-增城区增江街五星村38.548亩地块/增城区增江街五星村38.548亩地块/15、其他相关资料/其他/项目在增城区位置.jpg项目在增城区位置"/>
                    <pic:cNvPicPr>
                      <a:picLocks noChangeAspect="1"/>
                    </pic:cNvPicPr>
                  </pic:nvPicPr>
                  <pic:blipFill>
                    <a:blip r:embed="rId10"/>
                    <a:srcRect t="6" b="6"/>
                    <a:stretch>
                      <a:fillRect/>
                    </a:stretch>
                  </pic:blipFill>
                  <pic:spPr>
                    <a:xfrm>
                      <a:off x="0" y="0"/>
                      <a:ext cx="5336540" cy="7371080"/>
                    </a:xfrm>
                    <a:prstGeom prst="rect">
                      <a:avLst/>
                    </a:prstGeom>
                    <a:ln>
                      <a:solidFill>
                        <a:schemeClr val="tx1"/>
                      </a:solidFill>
                    </a:ln>
                  </pic:spPr>
                </pic:pic>
              </a:graphicData>
            </a:graphic>
          </wp:inline>
        </w:drawing>
      </w:r>
    </w:p>
    <w:p w14:paraId="2C6491CF">
      <w:pPr>
        <w:pStyle w:val="5"/>
        <w:spacing w:line="0" w:lineRule="atLeast"/>
        <w:jc w:val="center"/>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2</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项目地块在增城区位置示意图（标准地图）</w:t>
      </w:r>
    </w:p>
    <w:p w14:paraId="2C39FB45">
      <w:pP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br w:type="page"/>
      </w:r>
    </w:p>
    <w:p w14:paraId="1302B3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75458DAB">
      <w:pPr>
        <w:pStyle w:val="5"/>
        <w:spacing w:line="0" w:lineRule="atLeast"/>
        <w:jc w:val="cente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238115" cy="3491865"/>
            <wp:effectExtent l="0" t="0" r="635" b="13335"/>
            <wp:docPr id="17" name="图片 17" descr="D:/1-小陈/1-上传/87-增城区增江街五星村38.548亩地块/增城区增江街五星村38.548亩地块/15、其他相关资料/其他/位置图.jpg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小陈/1-上传/87-增城区增江街五星村38.548亩地块/增城区增江街五星村38.548亩地块/15、其他相关资料/其他/位置图.jpg位置图"/>
                    <pic:cNvPicPr>
                      <a:picLocks noChangeAspect="1"/>
                    </pic:cNvPicPr>
                  </pic:nvPicPr>
                  <pic:blipFill>
                    <a:blip r:embed="rId11"/>
                    <a:srcRect t="703" b="703"/>
                    <a:stretch>
                      <a:fillRect/>
                    </a:stretch>
                  </pic:blipFill>
                  <pic:spPr>
                    <a:xfrm>
                      <a:off x="0" y="0"/>
                      <a:ext cx="5238115" cy="3491865"/>
                    </a:xfrm>
                    <a:prstGeom prst="rect">
                      <a:avLst/>
                    </a:prstGeom>
                  </pic:spPr>
                </pic:pic>
              </a:graphicData>
            </a:graphic>
          </wp:inline>
        </w:drawing>
      </w:r>
    </w:p>
    <w:p w14:paraId="7524884C">
      <w:pPr>
        <w:pStyle w:val="5"/>
        <w:spacing w:line="0" w:lineRule="atLeast"/>
        <w:jc w:val="center"/>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3</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项目地块周边环境示意图（腾讯地图）</w:t>
      </w:r>
    </w:p>
    <w:p w14:paraId="12F48C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7CB519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3C385951">
      <w:pPr>
        <w:pStyle w:val="5"/>
        <w:spacing w:line="0" w:lineRule="atLeast"/>
        <w:jc w:val="center"/>
        <w:rPr>
          <w:rFonts w:hint="eastAsia" w:ascii="黑体" w:hAnsi="黑体" w:eastAsia="黑体" w:cs="黑体"/>
          <w:color w:val="auto"/>
          <w:kern w:val="2"/>
          <w:sz w:val="21"/>
          <w:szCs w:val="20"/>
          <w:lang w:val="en-US" w:eastAsia="zh-CN" w:bidi="ar-SA"/>
        </w:rPr>
      </w:pPr>
      <w:r>
        <w:rPr>
          <w:rFonts w:hint="eastAsia" w:ascii="黑体" w:hAnsi="黑体" w:eastAsia="黑体" w:cs="黑体"/>
          <w:color w:val="auto"/>
          <w:kern w:val="2"/>
          <w:sz w:val="21"/>
          <w:szCs w:val="20"/>
          <w:lang w:val="en-US" w:eastAsia="zh-CN" w:bidi="ar-SA"/>
        </w:rPr>
        <w:drawing>
          <wp:inline distT="0" distB="0" distL="114300" distR="114300">
            <wp:extent cx="5238115" cy="3491865"/>
            <wp:effectExtent l="0" t="0" r="635" b="13335"/>
            <wp:docPr id="19" name="图片 19" descr="D:/1-小陈/1-上传/87-增城区增江街五星村38.548亩地块/增城区增江街五星村38.548亩地块/15、其他相关资料/其他/卫星图.jpg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小陈/1-上传/87-增城区增江街五星村38.548亩地块/增城区增江街五星村38.548亩地块/15、其他相关资料/其他/卫星图.jpg卫星图"/>
                    <pic:cNvPicPr>
                      <a:picLocks noChangeAspect="1"/>
                    </pic:cNvPicPr>
                  </pic:nvPicPr>
                  <pic:blipFill>
                    <a:blip r:embed="rId12"/>
                    <a:srcRect t="345" b="345"/>
                    <a:stretch>
                      <a:fillRect/>
                    </a:stretch>
                  </pic:blipFill>
                  <pic:spPr>
                    <a:xfrm>
                      <a:off x="0" y="0"/>
                      <a:ext cx="5238115" cy="3491865"/>
                    </a:xfrm>
                    <a:prstGeom prst="rect">
                      <a:avLst/>
                    </a:prstGeom>
                  </pic:spPr>
                </pic:pic>
              </a:graphicData>
            </a:graphic>
          </wp:inline>
        </w:drawing>
      </w:r>
    </w:p>
    <w:p w14:paraId="33C20444">
      <w:pPr>
        <w:pStyle w:val="5"/>
        <w:spacing w:line="0" w:lineRule="atLeast"/>
        <w:jc w:val="center"/>
        <w:rPr>
          <w:rFonts w:hint="eastAsia" w:ascii="黑体" w:hAnsi="黑体" w:eastAsia="黑体" w:cs="黑体"/>
          <w:color w:val="auto"/>
          <w:kern w:val="2"/>
          <w:sz w:val="21"/>
          <w:szCs w:val="20"/>
          <w:highlight w:val="yellow"/>
          <w:lang w:val="en-US" w:eastAsia="zh-CN" w:bidi="ar-SA"/>
        </w:rPr>
      </w:pPr>
      <w:r>
        <w:rPr>
          <w:rFonts w:hint="eastAsia" w:ascii="黑体" w:hAnsi="黑体" w:cs="黑体"/>
          <w:color w:val="auto"/>
          <w:sz w:val="21"/>
          <w:szCs w:val="21"/>
          <w:lang w:val="en-US" w:eastAsia="zh-CN"/>
        </w:rPr>
        <w:t xml:space="preserve">图 </w:t>
      </w:r>
      <w:r>
        <w:rPr>
          <w:rFonts w:hint="eastAsia" w:ascii="黑体" w:hAnsi="黑体" w:cs="黑体"/>
          <w:color w:val="auto"/>
          <w:sz w:val="21"/>
          <w:szCs w:val="21"/>
          <w:lang w:val="en-US" w:eastAsia="zh-CN"/>
        </w:rPr>
        <w:fldChar w:fldCharType="begin"/>
      </w:r>
      <w:r>
        <w:rPr>
          <w:rFonts w:hint="eastAsia" w:ascii="黑体" w:hAnsi="黑体" w:cs="黑体"/>
          <w:color w:val="auto"/>
          <w:sz w:val="21"/>
          <w:szCs w:val="21"/>
          <w:lang w:val="en-US" w:eastAsia="zh-CN"/>
        </w:rPr>
        <w:instrText xml:space="preserve"> SEQ 图 \* ARABIC </w:instrText>
      </w:r>
      <w:r>
        <w:rPr>
          <w:rFonts w:hint="eastAsia" w:ascii="黑体" w:hAnsi="黑体" w:cs="黑体"/>
          <w:color w:val="auto"/>
          <w:sz w:val="21"/>
          <w:szCs w:val="21"/>
          <w:lang w:val="en-US" w:eastAsia="zh-CN"/>
        </w:rPr>
        <w:fldChar w:fldCharType="separate"/>
      </w:r>
      <w:r>
        <w:rPr>
          <w:rFonts w:hint="eastAsia" w:ascii="黑体" w:hAnsi="黑体" w:cs="黑体"/>
          <w:color w:val="auto"/>
          <w:sz w:val="21"/>
          <w:szCs w:val="21"/>
          <w:lang w:val="en-US" w:eastAsia="zh-CN"/>
        </w:rPr>
        <w:t>4</w:t>
      </w:r>
      <w:r>
        <w:rPr>
          <w:rFonts w:hint="eastAsia" w:ascii="黑体" w:hAnsi="黑体" w:cs="黑体"/>
          <w:color w:val="auto"/>
          <w:sz w:val="21"/>
          <w:szCs w:val="21"/>
          <w:lang w:val="en-US" w:eastAsia="zh-CN"/>
        </w:rPr>
        <w:fldChar w:fldCharType="end"/>
      </w:r>
      <w:r>
        <w:rPr>
          <w:rFonts w:hint="eastAsia" w:ascii="黑体" w:hAnsi="黑体" w:cs="黑体"/>
          <w:color w:val="auto"/>
          <w:sz w:val="21"/>
          <w:szCs w:val="21"/>
          <w:lang w:val="en-US" w:eastAsia="zh-CN"/>
        </w:rPr>
        <w:t xml:space="preserve">  </w:t>
      </w:r>
      <w:r>
        <w:rPr>
          <w:rFonts w:hint="eastAsia" w:ascii="黑体" w:hAnsi="黑体" w:cs="黑体"/>
          <w:color w:val="auto"/>
          <w:sz w:val="21"/>
          <w:szCs w:val="21"/>
          <w:highlight w:val="none"/>
          <w:lang w:val="en-US" w:eastAsia="zh-CN"/>
        </w:rPr>
        <w:t>项目地块卫星图（腾讯卫星地图）</w:t>
      </w:r>
    </w:p>
    <w:p w14:paraId="1C4C31B5">
      <w:pPr>
        <w:widowControl/>
        <w:jc w:val="left"/>
        <w:rPr>
          <w:rFonts w:asciiTheme="majorHAnsi" w:hAnsiTheme="majorHAnsi" w:cstheme="majorBidi"/>
          <w:b/>
          <w:bCs/>
          <w:color w:val="auto"/>
          <w:kern w:val="0"/>
          <w:sz w:val="28"/>
          <w:szCs w:val="32"/>
          <w:lang w:bidi="en-US"/>
        </w:rPr>
      </w:pPr>
      <w:r>
        <w:rPr>
          <w:color w:val="auto"/>
          <w:kern w:val="0"/>
          <w:lang w:bidi="en-US"/>
        </w:rPr>
        <w:br w:type="page"/>
      </w:r>
    </w:p>
    <w:bookmarkEnd w:id="27"/>
    <w:p w14:paraId="2FD2C0D3">
      <w:pPr>
        <w:pStyle w:val="2"/>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32" w:name="_Toc14340"/>
      <w:r>
        <w:rPr>
          <w:rFonts w:hint="eastAsia" w:eastAsia="宋体"/>
          <w:color w:val="auto"/>
          <w:sz w:val="28"/>
          <w:szCs w:val="28"/>
          <w:lang w:val="zh-CN" w:eastAsia="zh-CN"/>
        </w:rPr>
        <w:t>二、考古调查</w:t>
      </w:r>
      <w:bookmarkEnd w:id="28"/>
      <w:bookmarkEnd w:id="32"/>
    </w:p>
    <w:p w14:paraId="04B6914A">
      <w:pPr>
        <w:pStyle w:val="3"/>
        <w:ind w:firstLine="560" w:firstLineChars="200"/>
        <w:rPr>
          <w:rFonts w:hint="eastAsia"/>
          <w:b w:val="0"/>
          <w:bCs/>
          <w:color w:val="auto"/>
          <w:highlight w:val="none"/>
          <w:lang w:val="en-US" w:eastAsia="zh-CN"/>
        </w:rPr>
      </w:pPr>
      <w:bookmarkStart w:id="33" w:name="_Toc1616"/>
      <w:bookmarkStart w:id="34" w:name="_Toc1034"/>
      <w:bookmarkStart w:id="35" w:name="_Toc875"/>
      <w:bookmarkStart w:id="36" w:name="_Toc13493"/>
      <w:bookmarkStart w:id="37" w:name="_Toc14220"/>
      <w:bookmarkStart w:id="38" w:name="_Toc32556"/>
      <w:r>
        <w:rPr>
          <w:rFonts w:hint="eastAsia"/>
          <w:b w:val="0"/>
          <w:bCs/>
          <w:color w:val="auto"/>
          <w:highlight w:val="none"/>
          <w:lang w:val="en-US" w:eastAsia="zh-CN"/>
        </w:rPr>
        <w:t>（一）工作方法</w:t>
      </w:r>
      <w:bookmarkEnd w:id="33"/>
      <w:bookmarkEnd w:id="34"/>
      <w:bookmarkEnd w:id="35"/>
      <w:bookmarkEnd w:id="36"/>
      <w:bookmarkEnd w:id="37"/>
      <w:bookmarkEnd w:id="38"/>
    </w:p>
    <w:p w14:paraId="4A20979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考古调查的任务是发现、确认和研究文化遗存，为文化遗产保护提供依据，包括资料准备</w:t>
      </w:r>
      <w:r>
        <w:rPr>
          <w:rFonts w:hint="eastAsia"/>
          <w:color w:val="auto"/>
          <w:sz w:val="24"/>
          <w:lang w:eastAsia="zh-CN"/>
        </w:rPr>
        <w:t>、</w:t>
      </w:r>
      <w:r>
        <w:rPr>
          <w:rFonts w:hint="eastAsia"/>
          <w:color w:val="auto"/>
          <w:sz w:val="24"/>
        </w:rPr>
        <w:t>现场踏查</w:t>
      </w:r>
      <w:r>
        <w:rPr>
          <w:rFonts w:hint="eastAsia"/>
          <w:color w:val="auto"/>
          <w:sz w:val="24"/>
          <w:lang w:val="en-US" w:eastAsia="zh-CN"/>
        </w:rPr>
        <w:t>和考古试探等三</w:t>
      </w:r>
      <w:r>
        <w:rPr>
          <w:rFonts w:hint="eastAsia"/>
          <w:color w:val="auto"/>
          <w:sz w:val="24"/>
        </w:rPr>
        <w:t>个步骤。</w:t>
      </w:r>
    </w:p>
    <w:p w14:paraId="3B38E14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rPr>
        <w:t>1.</w:t>
      </w:r>
      <w:r>
        <w:rPr>
          <w:rFonts w:hint="eastAsia"/>
          <w:color w:val="auto"/>
          <w:sz w:val="24"/>
        </w:rPr>
        <w:t>基础资料准备：搜集项目地块相关历史文献、考古成果和图像、测绘资料，初步了解该项目地块的历史沿革和文化堆积情况。</w:t>
      </w:r>
    </w:p>
    <w:p w14:paraId="0999930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ascii="宋体" w:hAnsi="宋体" w:eastAsia="宋体" w:cs="宋体"/>
          <w:color w:val="auto"/>
          <w:sz w:val="24"/>
          <w:szCs w:val="22"/>
          <w:lang w:val="en-US" w:eastAsia="en-US" w:bidi="en-US"/>
        </w:rPr>
        <w:t>（1）</w:t>
      </w:r>
      <w:r>
        <w:rPr>
          <w:rFonts w:hint="eastAsia" w:ascii="宋体" w:hAnsi="宋体" w:cs="宋体"/>
          <w:color w:val="auto"/>
          <w:sz w:val="24"/>
        </w:rPr>
        <w:t>选取广州市统一的投影平面坐标系与高程基准的地形图，地形图应准确反映工作区域、周边整体地形地貌、高程差别，以及具体遗迹形状、空间位置关系等，精度一般不低于1</w:t>
      </w:r>
      <w:r>
        <w:rPr>
          <w:rFonts w:hint="eastAsia" w:ascii="宋体" w:hAnsi="宋体" w:cs="宋体"/>
          <w:color w:val="auto"/>
          <w:sz w:val="24"/>
          <w:lang w:eastAsia="zh-CN"/>
        </w:rPr>
        <w:t>：</w:t>
      </w:r>
      <w:r>
        <w:rPr>
          <w:rFonts w:hint="eastAsia" w:ascii="宋体" w:hAnsi="宋体" w:cs="宋体"/>
          <w:color w:val="auto"/>
          <w:sz w:val="24"/>
        </w:rPr>
        <w:t>2000，局部地形实测图精度不低于1</w:t>
      </w:r>
      <w:r>
        <w:rPr>
          <w:rFonts w:hint="eastAsia" w:ascii="宋体" w:hAnsi="宋体" w:cs="宋体"/>
          <w:color w:val="auto"/>
          <w:sz w:val="24"/>
          <w:lang w:eastAsia="zh-CN"/>
        </w:rPr>
        <w:t>：</w:t>
      </w:r>
      <w:r>
        <w:rPr>
          <w:rFonts w:hint="eastAsia" w:ascii="宋体" w:hAnsi="宋体" w:cs="宋体"/>
          <w:color w:val="auto"/>
          <w:sz w:val="24"/>
        </w:rPr>
        <w:t>1000。</w:t>
      </w:r>
    </w:p>
    <w:p w14:paraId="5A49150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ascii="宋体" w:hAnsi="宋体" w:eastAsia="宋体" w:cs="宋体"/>
          <w:color w:val="auto"/>
          <w:sz w:val="24"/>
          <w:szCs w:val="22"/>
          <w:lang w:val="en-US" w:eastAsia="en-US" w:bidi="en-US"/>
        </w:rPr>
        <w:t>（2）</w:t>
      </w:r>
      <w:r>
        <w:rPr>
          <w:rFonts w:hint="eastAsia" w:ascii="宋体" w:hAnsi="宋体" w:cs="宋体"/>
          <w:color w:val="auto"/>
          <w:sz w:val="24"/>
        </w:rPr>
        <w:t>掌握项目地块内地下线网、管网分布情况，制定避让方案。</w:t>
      </w:r>
    </w:p>
    <w:p w14:paraId="62084D1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ascii="宋体" w:hAnsi="宋体" w:eastAsia="宋体" w:cs="宋体"/>
          <w:color w:val="auto"/>
          <w:sz w:val="24"/>
          <w:szCs w:val="22"/>
          <w:lang w:val="en-US" w:eastAsia="en-US" w:bidi="en-US"/>
        </w:rPr>
        <w:t>（3）</w:t>
      </w:r>
      <w:r>
        <w:rPr>
          <w:rFonts w:hint="eastAsia" w:ascii="宋体" w:hAnsi="宋体" w:cs="宋体"/>
          <w:color w:val="auto"/>
          <w:sz w:val="24"/>
        </w:rPr>
        <w:t>根据项目地块的现场情况和历年考古成果，制定科学、详实的工作计划，明确工作任务、技术路线、人员分工和职责、工作进度、文物保护措施和应急预案等。</w:t>
      </w:r>
    </w:p>
    <w:p w14:paraId="08090E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宋体" w:hAnsi="宋体" w:cs="宋体"/>
          <w:color w:val="auto"/>
          <w:sz w:val="24"/>
        </w:rPr>
        <w:t>2.</w:t>
      </w:r>
      <w:r>
        <w:rPr>
          <w:rFonts w:hint="eastAsia"/>
          <w:color w:val="auto"/>
          <w:sz w:val="24"/>
        </w:rPr>
        <w:t>现场踏查：基本内容包括踏查对象的位置、范围与面积、堆积状况、年代与文化面貌、环境、保存现状等等。</w:t>
      </w:r>
    </w:p>
    <w:p w14:paraId="2045B42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（1）领队应熟悉项目地块的地形地貌，现场采集遗物标本，观察地块内地层断面，初步了解地块内地层堆积情况，结合资料预判遗址性质。</w:t>
      </w:r>
    </w:p>
    <w:p w14:paraId="03A8934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（2）现场踏查应采用“拉网式”调查法，调查小组至少由</w:t>
      </w:r>
      <w:r>
        <w:rPr>
          <w:rFonts w:hint="eastAsia" w:ascii="宋体" w:hAnsi="宋体" w:cs="宋体"/>
          <w:color w:val="auto"/>
          <w:sz w:val="24"/>
          <w:lang w:val="en-US" w:eastAsia="zh-CN"/>
        </w:rPr>
        <w:t>3</w:t>
      </w:r>
      <w:r>
        <w:rPr>
          <w:rFonts w:hint="eastAsia" w:ascii="宋体" w:hAnsi="宋体" w:cs="宋体"/>
          <w:color w:val="auto"/>
          <w:sz w:val="24"/>
        </w:rPr>
        <w:t>人组成，对所有可能埋藏古代文化遗存的区域进行徒步踏查。</w:t>
      </w:r>
    </w:p>
    <w:p w14:paraId="29A97C3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（3）测量遗址的地理坐标，并标注在地形图上。</w:t>
      </w:r>
    </w:p>
    <w:p w14:paraId="049F93A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rPr>
      </w:pPr>
      <w:r>
        <w:rPr>
          <w:rFonts w:hint="eastAsia" w:ascii="宋体" w:hAnsi="宋体" w:cs="宋体"/>
          <w:color w:val="auto"/>
          <w:sz w:val="24"/>
        </w:rPr>
        <w:t>（4）遗址范围与面积依据已暴露文化堆积的位置，并参照地表散见遗物的分布范围确定，必要时适当辅以勘探手段。</w:t>
      </w:r>
    </w:p>
    <w:p w14:paraId="5537A98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pacing w:val="0"/>
          <w:sz w:val="24"/>
          <w:szCs w:val="24"/>
        </w:rPr>
      </w:pPr>
      <w:bookmarkStart w:id="39" w:name="_Toc6637"/>
      <w:bookmarkStart w:id="40" w:name="_Toc28778"/>
      <w:bookmarkStart w:id="41" w:name="_Toc29734"/>
      <w:bookmarkStart w:id="42" w:name="_Toc26789"/>
      <w:r>
        <w:rPr>
          <w:rFonts w:hint="eastAsia" w:ascii="宋体" w:hAnsi="宋体" w:eastAsia="宋体" w:cs="宋体"/>
          <w:color w:val="auto"/>
          <w:spacing w:val="0"/>
          <w:sz w:val="24"/>
          <w:szCs w:val="24"/>
          <w:lang w:val="en-US" w:eastAsia="zh-CN"/>
        </w:rPr>
        <w:t>3.考古试探：</w:t>
      </w:r>
      <w:r>
        <w:rPr>
          <w:rFonts w:hint="eastAsia" w:ascii="宋体" w:hAnsi="宋体" w:eastAsia="宋体" w:cs="宋体"/>
          <w:color w:val="auto"/>
          <w:spacing w:val="0"/>
          <w:sz w:val="24"/>
          <w:szCs w:val="24"/>
        </w:rPr>
        <w:t>根据地块地形、地貌，在地块范围内选取至少</w:t>
      </w:r>
      <w:r>
        <w:rPr>
          <w:rFonts w:hint="eastAsia" w:ascii="宋体" w:hAnsi="宋体" w:cs="宋体"/>
          <w:color w:val="auto"/>
          <w:spacing w:val="0"/>
          <w:sz w:val="24"/>
          <w:szCs w:val="24"/>
          <w:lang w:val="en-US" w:eastAsia="zh-CN"/>
        </w:rPr>
        <w:t>10</w:t>
      </w:r>
      <w:r>
        <w:rPr>
          <w:rFonts w:hint="eastAsia" w:ascii="宋体" w:hAnsi="宋体" w:eastAsia="宋体" w:cs="宋体"/>
          <w:color w:val="auto"/>
          <w:spacing w:val="0"/>
          <w:sz w:val="24"/>
          <w:szCs w:val="24"/>
        </w:rPr>
        <w:t>个地方布点，进行初步勘探，提取土样并记录，以了解该地块内的地层堆积情况，为制定下一步工作计划和方案做好准备。</w:t>
      </w:r>
    </w:p>
    <w:p w14:paraId="6B3D09B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pacing w:val="0"/>
          <w:sz w:val="24"/>
          <w:szCs w:val="24"/>
        </w:rPr>
      </w:pPr>
      <w:r>
        <w:rPr>
          <w:rFonts w:hint="eastAsia" w:ascii="宋体" w:hAnsi="宋体" w:eastAsia="宋体" w:cs="宋体"/>
          <w:color w:val="auto"/>
          <w:spacing w:val="0"/>
          <w:sz w:val="24"/>
          <w:szCs w:val="24"/>
        </w:rPr>
        <w:t>试探探孔记录应包括各堆积层距离地面的深度、土质土色、致密度、包含物、堆积状况研判结论、现场留取图象清晰、色彩真实的探孔土样的影像记录。</w:t>
      </w:r>
    </w:p>
    <w:p w14:paraId="019843ED">
      <w:pPr>
        <w:rPr>
          <w:rFonts w:hint="eastAsia"/>
          <w:color w:val="auto"/>
        </w:rPr>
      </w:pPr>
      <w:r>
        <w:rPr>
          <w:rFonts w:hint="eastAsia"/>
          <w:color w:val="auto"/>
        </w:rPr>
        <w:br w:type="page"/>
      </w:r>
    </w:p>
    <w:p w14:paraId="0A5D4B9C">
      <w:pPr>
        <w:pStyle w:val="3"/>
        <w:ind w:firstLine="560" w:firstLineChars="200"/>
        <w:rPr>
          <w:rFonts w:hint="eastAsia"/>
          <w:b w:val="0"/>
          <w:bCs/>
          <w:color w:val="auto"/>
          <w:highlight w:val="none"/>
          <w:lang w:val="en-US" w:eastAsia="zh-CN"/>
        </w:rPr>
      </w:pPr>
      <w:bookmarkStart w:id="43" w:name="_Toc8147"/>
      <w:bookmarkStart w:id="44" w:name="_Toc3596"/>
      <w:r>
        <w:rPr>
          <w:rFonts w:hint="eastAsia"/>
          <w:b w:val="0"/>
          <w:bCs/>
          <w:color w:val="auto"/>
          <w:highlight w:val="none"/>
          <w:lang w:val="en-US" w:eastAsia="zh-CN"/>
        </w:rPr>
        <w:t>（二）历史文献及周边考古成果调查</w:t>
      </w:r>
      <w:bookmarkEnd w:id="39"/>
      <w:bookmarkEnd w:id="40"/>
      <w:bookmarkEnd w:id="41"/>
      <w:bookmarkEnd w:id="42"/>
      <w:bookmarkEnd w:id="43"/>
      <w:bookmarkEnd w:id="44"/>
    </w:p>
    <w:p w14:paraId="3B4D91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b w:val="0"/>
          <w:bCs w:val="0"/>
          <w:color w:val="auto"/>
          <w:sz w:val="24"/>
          <w:szCs w:val="24"/>
        </w:rPr>
      </w:pPr>
      <w:bookmarkStart w:id="45" w:name="_Toc9435"/>
      <w:bookmarkStart w:id="46" w:name="_Toc15567"/>
      <w:bookmarkStart w:id="47" w:name="_Toc29398"/>
      <w:bookmarkStart w:id="48" w:name="_Toc30674"/>
      <w:r>
        <w:rPr>
          <w:rFonts w:hint="eastAsia" w:ascii="宋体" w:hAnsi="宋体" w:eastAsia="宋体" w:cs="宋体"/>
          <w:b w:val="0"/>
          <w:bCs w:val="0"/>
          <w:color w:val="auto"/>
          <w:sz w:val="24"/>
          <w:szCs w:val="24"/>
          <w:highlight w:val="none"/>
          <w:lang w:val="en-US" w:eastAsia="zh-CN" w:bidi="ar-SA"/>
        </w:rPr>
        <w:t>根据《广州市文物普查汇编·增城区卷》记载，</w:t>
      </w:r>
      <w:r>
        <w:rPr>
          <w:rFonts w:hint="eastAsia" w:ascii="宋体" w:hAnsi="宋体" w:cs="宋体"/>
          <w:b w:val="0"/>
          <w:bCs w:val="0"/>
          <w:color w:val="auto"/>
          <w:sz w:val="24"/>
          <w:szCs w:val="24"/>
          <w:highlight w:val="none"/>
          <w:lang w:val="en-US" w:eastAsia="zh-CN" w:bidi="ar-SA"/>
        </w:rPr>
        <w:t>该项目地块内没有不可移动文物，</w:t>
      </w:r>
      <w:r>
        <w:rPr>
          <w:rFonts w:hint="eastAsia"/>
          <w:color w:val="auto"/>
          <w:sz w:val="24"/>
          <w:szCs w:val="24"/>
        </w:rPr>
        <w:t>距离地块较近的</w:t>
      </w:r>
      <w:r>
        <w:rPr>
          <w:rFonts w:hint="eastAsia"/>
          <w:color w:val="auto"/>
          <w:sz w:val="24"/>
          <w:szCs w:val="24"/>
          <w:lang w:val="en-US" w:eastAsia="zh-CN"/>
        </w:rPr>
        <w:t>不可</w:t>
      </w:r>
      <w:r>
        <w:rPr>
          <w:rFonts w:hint="eastAsia"/>
          <w:b w:val="0"/>
          <w:bCs w:val="0"/>
          <w:color w:val="auto"/>
          <w:sz w:val="24"/>
          <w:szCs w:val="24"/>
          <w:lang w:val="en-US" w:eastAsia="zh-CN"/>
        </w:rPr>
        <w:t>移动文物</w:t>
      </w:r>
      <w:r>
        <w:rPr>
          <w:rFonts w:hint="eastAsia"/>
          <w:b w:val="0"/>
          <w:bCs w:val="0"/>
          <w:color w:val="auto"/>
          <w:sz w:val="24"/>
          <w:szCs w:val="24"/>
        </w:rPr>
        <w:t>有</w:t>
      </w:r>
      <w:r>
        <w:rPr>
          <w:rFonts w:hint="eastAsia" w:ascii="宋体" w:hAnsi="宋体" w:cs="宋体"/>
          <w:b w:val="0"/>
          <w:bCs w:val="0"/>
          <w:color w:val="auto"/>
          <w:sz w:val="24"/>
          <w:szCs w:val="24"/>
          <w:lang w:val="en-US" w:eastAsia="zh-CN"/>
        </w:rPr>
        <w:t>飞泉洞摩崖石刻、</w:t>
      </w:r>
      <w:r>
        <w:rPr>
          <w:rFonts w:hint="eastAsia" w:ascii="宋体" w:hAnsi="宋体" w:eastAsia="宋体" w:cs="宋体"/>
          <w:b w:val="0"/>
          <w:bCs w:val="0"/>
          <w:color w:val="auto"/>
          <w:sz w:val="24"/>
          <w:szCs w:val="24"/>
        </w:rPr>
        <w:t>何济夫妇合葬墓</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rPr>
        <w:t>增城革命烈士纪念碑</w:t>
      </w:r>
      <w:r>
        <w:rPr>
          <w:rFonts w:hint="eastAsia" w:ascii="宋体" w:hAnsi="宋体" w:cs="宋体"/>
          <w:b w:val="0"/>
          <w:bCs w:val="0"/>
          <w:color w:val="auto"/>
          <w:sz w:val="24"/>
          <w:szCs w:val="24"/>
          <w:lang w:val="en-US" w:eastAsia="zh-CN"/>
        </w:rPr>
        <w:t>。</w:t>
      </w:r>
      <w:r>
        <w:rPr>
          <w:rFonts w:hint="eastAsia" w:ascii="宋体" w:hAnsi="宋体" w:cs="宋体"/>
          <w:b w:val="0"/>
          <w:bCs w:val="0"/>
          <w:color w:val="auto"/>
          <w:sz w:val="24"/>
          <w:szCs w:val="24"/>
          <w:highlight w:val="none"/>
          <w:lang w:val="en-US" w:eastAsia="zh-CN"/>
        </w:rPr>
        <w:t>另外，考古工作者曾在增江流域进行考古调查时，在该项目地块附近发现和复查的遗址有杉山吓遗址、牛皮冚遗址、蕉石岭遗址、下屋圆岭遗址、布加岭遗址、白墓遗址、塱田后山遗址、人字岭遗址、珠山遗址等。</w:t>
      </w:r>
    </w:p>
    <w:p w14:paraId="3A923B0A">
      <w:pPr>
        <w:pStyle w:val="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kern w:val="2"/>
          <w:sz w:val="21"/>
          <w:szCs w:val="20"/>
          <w:lang w:val="en-US" w:eastAsia="zh-CN" w:bidi="ar-SA"/>
        </w:rPr>
      </w:pPr>
      <w:r>
        <w:rPr>
          <w:rFonts w:hint="eastAsia" w:ascii="宋体" w:hAnsi="宋体" w:cs="宋体"/>
          <w:b w:val="0"/>
          <w:bCs w:val="0"/>
          <w:color w:val="auto"/>
          <w:sz w:val="24"/>
          <w:szCs w:val="24"/>
          <w:highlight w:val="none"/>
          <w:lang w:val="en-US" w:eastAsia="zh-CN"/>
        </w:rPr>
        <w:drawing>
          <wp:inline distT="0" distB="0" distL="114300" distR="114300">
            <wp:extent cx="3929380" cy="2856230"/>
            <wp:effectExtent l="0" t="0" r="13970" b="1270"/>
            <wp:docPr id="22" name="图片 22" descr="微信图片_20251022165955_504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51022165955_504_134"/>
                    <pic:cNvPicPr>
                      <a:picLocks noChangeAspect="1"/>
                    </pic:cNvPicPr>
                  </pic:nvPicPr>
                  <pic:blipFill>
                    <a:blip r:embed="rId13"/>
                    <a:stretch>
                      <a:fillRect/>
                    </a:stretch>
                  </pic:blipFill>
                  <pic:spPr>
                    <a:xfrm>
                      <a:off x="0" y="0"/>
                      <a:ext cx="3929380" cy="2856230"/>
                    </a:xfrm>
                    <a:prstGeom prst="rect">
                      <a:avLst/>
                    </a:prstGeom>
                  </pic:spPr>
                </pic:pic>
              </a:graphicData>
            </a:graphic>
          </wp:inline>
        </w:drawing>
      </w:r>
    </w:p>
    <w:p w14:paraId="648CE269">
      <w:pPr>
        <w:pStyle w:val="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color w:val="auto"/>
          <w:highlight w:val="none"/>
          <w:lang w:eastAsia="zh-CN"/>
        </w:rPr>
      </w:pPr>
      <w:r>
        <w:rPr>
          <w:rFonts w:hint="eastAsia" w:ascii="黑体" w:hAnsi="黑体" w:eastAsia="黑体" w:cs="黑体"/>
          <w:color w:val="auto"/>
          <w:kern w:val="2"/>
          <w:sz w:val="21"/>
          <w:szCs w:val="20"/>
          <w:highlight w:val="none"/>
          <w:lang w:val="en-US" w:eastAsia="zh-CN" w:bidi="ar-SA"/>
        </w:rPr>
        <w:t xml:space="preserve">图 </w:t>
      </w:r>
      <w:r>
        <w:rPr>
          <w:rFonts w:hint="eastAsia" w:ascii="黑体" w:hAnsi="黑体" w:eastAsia="黑体" w:cs="黑体"/>
          <w:color w:val="auto"/>
          <w:kern w:val="2"/>
          <w:sz w:val="21"/>
          <w:szCs w:val="20"/>
          <w:highlight w:val="none"/>
          <w:lang w:val="en-US" w:eastAsia="zh-CN" w:bidi="ar-SA"/>
        </w:rPr>
        <w:fldChar w:fldCharType="begin"/>
      </w:r>
      <w:r>
        <w:rPr>
          <w:rFonts w:hint="eastAsia" w:ascii="黑体" w:hAnsi="黑体" w:eastAsia="黑体" w:cs="黑体"/>
          <w:color w:val="auto"/>
          <w:kern w:val="2"/>
          <w:sz w:val="21"/>
          <w:szCs w:val="20"/>
          <w:highlight w:val="none"/>
          <w:lang w:val="en-US" w:eastAsia="zh-CN" w:bidi="ar-SA"/>
        </w:rPr>
        <w:instrText xml:space="preserve"> SEQ 图 \* ARABIC </w:instrText>
      </w:r>
      <w:r>
        <w:rPr>
          <w:rFonts w:hint="eastAsia" w:ascii="黑体" w:hAnsi="黑体" w:eastAsia="黑体" w:cs="黑体"/>
          <w:color w:val="auto"/>
          <w:kern w:val="2"/>
          <w:sz w:val="21"/>
          <w:szCs w:val="20"/>
          <w:highlight w:val="none"/>
          <w:lang w:val="en-US" w:eastAsia="zh-CN" w:bidi="ar-SA"/>
        </w:rPr>
        <w:fldChar w:fldCharType="separate"/>
      </w:r>
      <w:r>
        <w:rPr>
          <w:rFonts w:hint="eastAsia" w:ascii="黑体" w:hAnsi="黑体" w:eastAsia="黑体" w:cs="黑体"/>
          <w:color w:val="auto"/>
          <w:kern w:val="2"/>
          <w:sz w:val="21"/>
          <w:szCs w:val="20"/>
          <w:highlight w:val="none"/>
          <w:lang w:val="en-US" w:eastAsia="zh-CN" w:bidi="ar-SA"/>
        </w:rPr>
        <w:t>5</w:t>
      </w:r>
      <w:r>
        <w:rPr>
          <w:rFonts w:hint="eastAsia" w:ascii="黑体" w:hAnsi="黑体" w:eastAsia="黑体" w:cs="黑体"/>
          <w:color w:val="auto"/>
          <w:kern w:val="2"/>
          <w:sz w:val="21"/>
          <w:szCs w:val="20"/>
          <w:highlight w:val="none"/>
          <w:lang w:val="en-US" w:eastAsia="zh-CN" w:bidi="ar-SA"/>
        </w:rPr>
        <w:fldChar w:fldCharType="end"/>
      </w:r>
      <w:r>
        <w:rPr>
          <w:rFonts w:hint="eastAsia" w:ascii="黑体" w:hAnsi="黑体" w:eastAsia="黑体" w:cs="黑体"/>
          <w:color w:val="auto"/>
          <w:kern w:val="2"/>
          <w:sz w:val="21"/>
          <w:szCs w:val="20"/>
          <w:highlight w:val="none"/>
          <w:lang w:val="en-US" w:eastAsia="zh-CN" w:bidi="ar-SA"/>
        </w:rPr>
        <w:t xml:space="preserve">  地块周边不可移动文物</w:t>
      </w:r>
      <w:r>
        <w:rPr>
          <w:rFonts w:hint="eastAsia" w:ascii="黑体" w:hAnsi="黑体" w:cs="黑体"/>
          <w:color w:val="auto"/>
          <w:kern w:val="2"/>
          <w:sz w:val="21"/>
          <w:szCs w:val="20"/>
          <w:highlight w:val="none"/>
          <w:lang w:val="en-US" w:eastAsia="zh-CN" w:bidi="ar-SA"/>
        </w:rPr>
        <w:t>及遗址点</w:t>
      </w:r>
      <w:r>
        <w:rPr>
          <w:rFonts w:hint="eastAsia" w:ascii="黑体" w:hAnsi="黑体" w:eastAsia="黑体" w:cs="黑体"/>
          <w:color w:val="auto"/>
          <w:kern w:val="2"/>
          <w:sz w:val="21"/>
          <w:szCs w:val="20"/>
          <w:highlight w:val="none"/>
          <w:lang w:val="en-US" w:eastAsia="zh-CN" w:bidi="ar-SA"/>
        </w:rPr>
        <w:t>分布图（</w:t>
      </w:r>
      <w:r>
        <w:rPr>
          <w:rFonts w:hint="eastAsia" w:ascii="黑体" w:hAnsi="黑体" w:cs="黑体"/>
          <w:color w:val="auto"/>
          <w:kern w:val="2"/>
          <w:sz w:val="21"/>
          <w:szCs w:val="20"/>
          <w:highlight w:val="none"/>
          <w:lang w:val="en-US" w:eastAsia="zh-CN" w:bidi="ar-SA"/>
        </w:rPr>
        <w:t>绿色标记点为项目位置</w:t>
      </w:r>
      <w:r>
        <w:rPr>
          <w:rFonts w:hint="eastAsia" w:ascii="黑体" w:hAnsi="黑体" w:eastAsia="黑体" w:cs="黑体"/>
          <w:color w:val="auto"/>
          <w:kern w:val="2"/>
          <w:sz w:val="21"/>
          <w:szCs w:val="20"/>
          <w:highlight w:val="none"/>
          <w:lang w:val="en-US" w:eastAsia="zh-CN" w:bidi="ar-SA"/>
        </w:rPr>
        <w:t>）</w:t>
      </w:r>
    </w:p>
    <w:p w14:paraId="4244E9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 xml:space="preserve">飞泉洞摩崖石刻  </w:t>
      </w:r>
      <w:r>
        <w:rPr>
          <w:rFonts w:hint="eastAsia" w:ascii="宋体" w:hAnsi="宋体" w:eastAsia="宋体" w:cs="宋体"/>
          <w:color w:val="auto"/>
          <w:sz w:val="24"/>
          <w:szCs w:val="24"/>
        </w:rPr>
        <w:t>位于增江街五星村周山自然村后山的崖壁上。该山处在东、南、北三面连环山峰的出口处，成为天然的峰门，有一夫当关，万夫莫摧之势。在山的左侧山溪中有水潭，潭边有崖壁，溪水从高处潺潺而入，犹如清泉涓涓注入杯中，故名“曲水流杯”。早至明永乐年间此处已被列为增江“八景”之一。崖壁上现仍存有文字石刻十处，其中右崖三处，左崖七处（以水流为中轴分左右），每处自成一幅。著有年款的六处，不见年款的有四处（部份已残）。最早的刻于北宋熙宁四年（1071），最晚的刻于清乾隆辛丑年（1781），其间还有南宋乾道戊子年、明天顺已卯年、正德</w:t>
      </w:r>
      <w:r>
        <w:rPr>
          <w:rFonts w:hint="eastAsia" w:ascii="宋体" w:hAnsi="宋体" w:cs="宋体"/>
          <w:color w:val="auto"/>
          <w:sz w:val="24"/>
          <w:szCs w:val="24"/>
          <w:lang w:eastAsia="zh-CN"/>
        </w:rPr>
        <w:t>辛巳年</w:t>
      </w:r>
      <w:r>
        <w:rPr>
          <w:rFonts w:hint="eastAsia" w:ascii="宋体" w:hAnsi="宋体" w:eastAsia="宋体" w:cs="宋体"/>
          <w:color w:val="auto"/>
          <w:sz w:val="24"/>
          <w:szCs w:val="24"/>
        </w:rPr>
        <w:t>和万历壬子年的文字石刻，前后共越五个朝代710年。石刻有楷书、行书、行草、隶书等多种字体。这些摩崖石刻有七言诗，有五言诗，有游后留记</w:t>
      </w:r>
      <w:r>
        <w:rPr>
          <w:rFonts w:hint="eastAsia" w:ascii="宋体" w:hAnsi="宋体" w:eastAsia="宋体" w:cs="宋体"/>
          <w:color w:val="auto"/>
          <w:sz w:val="24"/>
          <w:szCs w:val="24"/>
          <w:lang w:eastAsia="zh-CN"/>
        </w:rPr>
        <w:t>。</w:t>
      </w:r>
    </w:p>
    <w:p w14:paraId="384329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lang w:val="en-US" w:eastAsia="zh-CN"/>
        </w:rPr>
      </w:pPr>
      <w:r>
        <w:rPr>
          <w:rFonts w:hint="eastAsia" w:ascii="宋体" w:hAnsi="宋体" w:eastAsia="宋体" w:cs="宋体"/>
          <w:color w:val="auto"/>
          <w:sz w:val="24"/>
          <w:szCs w:val="24"/>
        </w:rPr>
        <w:t>飞泉洞摩崖石刻历千年而保留完好，是广州市现存最早的摩崖石刻，具有珍贵的文物价值。不足之处是当地村民在摩崖四周开荒种地、采石修筑水利工程，改变了周围环境，一些摩崖石刻已遭毁坏。该摩崖石刻已于1985年被增城县人民政府公布为文物保护单位，2002年又被广州市人民政府公布为文物保护单位。</w:t>
      </w:r>
      <w:r>
        <w:rPr>
          <w:rFonts w:hint="eastAsia" w:ascii="宋体" w:hAnsi="宋体" w:eastAsia="宋体" w:cs="宋体"/>
          <w:color w:val="auto"/>
          <w:sz w:val="24"/>
          <w:szCs w:val="24"/>
          <w:lang w:val="en-US" w:eastAsia="zh-CN"/>
        </w:rPr>
        <w:t>2022年7月公布为广东省文物保护单位。</w:t>
      </w:r>
    </w:p>
    <w:p w14:paraId="15F6EE6D">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color w:val="auto"/>
        </w:rPr>
      </w:pPr>
      <w:r>
        <w:rPr>
          <w:color w:val="auto"/>
        </w:rPr>
        <w:drawing>
          <wp:inline distT="0" distB="0" distL="114300" distR="114300">
            <wp:extent cx="1619885" cy="2160270"/>
            <wp:effectExtent l="0" t="0" r="18415" b="11430"/>
            <wp:docPr id="29" name="图片 5" descr="G:/1-小陈/广州文物/汇编—增城市卷/增城照片/第四章  石刻/第二节 摩崖/1.飞泉洞摩崖石刻/1.飞泉洞摩崖石刻-9.JPG1.飞泉洞摩崖石刻-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G:/1-小陈/广州文物/汇编—增城市卷/增城照片/第四章  石刻/第二节 摩崖/1.飞泉洞摩崖石刻/1.飞泉洞摩崖石刻-9.JPG1.飞泉洞摩崖石刻-9"/>
                    <pic:cNvPicPr>
                      <a:picLocks noChangeAspect="1"/>
                    </pic:cNvPicPr>
                  </pic:nvPicPr>
                  <pic:blipFill>
                    <a:blip r:embed="rId14"/>
                    <a:srcRect l="5685" r="5685"/>
                    <a:stretch>
                      <a:fillRect/>
                    </a:stretch>
                  </pic:blipFill>
                  <pic:spPr>
                    <a:xfrm>
                      <a:off x="0" y="0"/>
                      <a:ext cx="1619885" cy="2160270"/>
                    </a:xfrm>
                    <a:prstGeom prst="rect">
                      <a:avLst/>
                    </a:prstGeom>
                    <a:noFill/>
                    <a:ln>
                      <a:noFill/>
                    </a:ln>
                  </pic:spPr>
                </pic:pic>
              </a:graphicData>
            </a:graphic>
          </wp:inline>
        </w:drawing>
      </w:r>
      <w:r>
        <w:rPr>
          <w:color w:val="auto"/>
        </w:rPr>
        <w:drawing>
          <wp:inline distT="0" distB="0" distL="114300" distR="114300">
            <wp:extent cx="1813560" cy="2160270"/>
            <wp:effectExtent l="0" t="0" r="15240" b="11430"/>
            <wp:docPr id="30" name="图片 2" descr="G:/1-小陈/广州文物/汇编—增城市卷/增城照片/第四章  石刻/第二节 摩崖/1.飞泉洞摩崖石刻/1.飞泉洞摩崖石刻-1.tif1.飞泉洞摩崖石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G:/1-小陈/广州文物/汇编—增城市卷/增城照片/第四章  石刻/第二节 摩崖/1.飞泉洞摩崖石刻/1.飞泉洞摩崖石刻-1.tif1.飞泉洞摩崖石刻-1"/>
                    <pic:cNvPicPr>
                      <a:picLocks noChangeAspect="1"/>
                    </pic:cNvPicPr>
                  </pic:nvPicPr>
                  <pic:blipFill>
                    <a:blip r:embed="rId15"/>
                    <a:srcRect t="5323" b="5323"/>
                    <a:stretch>
                      <a:fillRect/>
                    </a:stretch>
                  </pic:blipFill>
                  <pic:spPr>
                    <a:xfrm>
                      <a:off x="0" y="0"/>
                      <a:ext cx="1813560" cy="2160270"/>
                    </a:xfrm>
                    <a:prstGeom prst="rect">
                      <a:avLst/>
                    </a:prstGeom>
                    <a:noFill/>
                    <a:ln>
                      <a:noFill/>
                    </a:ln>
                  </pic:spPr>
                </pic:pic>
              </a:graphicData>
            </a:graphic>
          </wp:inline>
        </w:drawing>
      </w:r>
    </w:p>
    <w:p w14:paraId="6033CC39">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color w:val="auto"/>
        </w:rPr>
      </w:pPr>
      <w:r>
        <w:rPr>
          <w:rFonts w:hint="eastAsia" w:ascii="黑体" w:hAnsi="黑体" w:eastAsia="黑体" w:cs="黑体"/>
          <w:color w:val="auto"/>
          <w:kern w:val="2"/>
          <w:sz w:val="21"/>
          <w:szCs w:val="20"/>
          <w:lang w:val="en-US" w:eastAsia="zh-CN" w:bidi="ar-SA"/>
        </w:rPr>
        <w:t xml:space="preserve">图 </w:t>
      </w:r>
      <w:r>
        <w:rPr>
          <w:rFonts w:hint="eastAsia" w:ascii="黑体" w:hAnsi="黑体" w:eastAsia="黑体" w:cs="黑体"/>
          <w:color w:val="auto"/>
          <w:kern w:val="2"/>
          <w:sz w:val="21"/>
          <w:szCs w:val="20"/>
          <w:lang w:val="en-US" w:eastAsia="zh-CN" w:bidi="ar-SA"/>
        </w:rPr>
        <w:fldChar w:fldCharType="begin"/>
      </w:r>
      <w:r>
        <w:rPr>
          <w:rFonts w:hint="eastAsia" w:ascii="黑体" w:hAnsi="黑体" w:eastAsia="黑体" w:cs="黑体"/>
          <w:color w:val="auto"/>
          <w:kern w:val="2"/>
          <w:sz w:val="21"/>
          <w:szCs w:val="20"/>
          <w:lang w:val="en-US" w:eastAsia="zh-CN" w:bidi="ar-SA"/>
        </w:rPr>
        <w:instrText xml:space="preserve"> SEQ 图 \* ARABIC </w:instrText>
      </w:r>
      <w:r>
        <w:rPr>
          <w:rFonts w:hint="eastAsia" w:ascii="黑体" w:hAnsi="黑体" w:eastAsia="黑体" w:cs="黑体"/>
          <w:color w:val="auto"/>
          <w:kern w:val="2"/>
          <w:sz w:val="21"/>
          <w:szCs w:val="20"/>
          <w:lang w:val="en-US" w:eastAsia="zh-CN" w:bidi="ar-SA"/>
        </w:rPr>
        <w:fldChar w:fldCharType="separate"/>
      </w:r>
      <w:r>
        <w:rPr>
          <w:rFonts w:hint="eastAsia" w:ascii="黑体" w:hAnsi="黑体" w:eastAsia="黑体" w:cs="黑体"/>
          <w:color w:val="auto"/>
          <w:kern w:val="2"/>
          <w:sz w:val="21"/>
          <w:szCs w:val="20"/>
          <w:lang w:val="en-US" w:eastAsia="zh-CN" w:bidi="ar-SA"/>
        </w:rPr>
        <w:t>6</w:t>
      </w:r>
      <w:r>
        <w:rPr>
          <w:rFonts w:hint="eastAsia"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飞泉洞摩崖石刻</w:t>
      </w:r>
    </w:p>
    <w:p w14:paraId="33DD224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何济夫妇合葬墓</w:t>
      </w:r>
      <w:r>
        <w:rPr>
          <w:rFonts w:hint="eastAsia" w:ascii="宋体" w:hAnsi="宋体" w:eastAsia="宋体" w:cs="宋体"/>
          <w:color w:val="auto"/>
          <w:sz w:val="24"/>
          <w:szCs w:val="24"/>
        </w:rPr>
        <w:t xml:space="preserve">  位于增江街光辉村（土名）芍麻岭西面山坡上，始葬于明。墓依山坡而建，坐东朝西，是一座鸭屎石青砖结构交椅状墓。由月池、二级平台、享堂、坟头和墓后护岭组成，总宽13米、深18米，占地面积234平方米。</w:t>
      </w:r>
    </w:p>
    <w:p w14:paraId="10C5321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rPr>
      </w:pPr>
      <w:r>
        <w:rPr>
          <w:rFonts w:hint="eastAsia" w:ascii="宋体" w:hAnsi="宋体" w:eastAsia="宋体" w:cs="宋体"/>
          <w:color w:val="auto"/>
          <w:sz w:val="24"/>
          <w:szCs w:val="24"/>
        </w:rPr>
        <w:t>该墓规模大，雄伟壮观。用鸭屎石建墓在增城少见。保存基本完整，墓主有政声，名人题墓表，具有较高的价值。</w:t>
      </w:r>
    </w:p>
    <w:p w14:paraId="71F215B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增城革命烈士纪念碑</w:t>
      </w:r>
      <w:r>
        <w:rPr>
          <w:rFonts w:hint="eastAsia" w:ascii="宋体" w:hAnsi="宋体" w:eastAsia="宋体" w:cs="宋体"/>
          <w:color w:val="auto"/>
          <w:sz w:val="24"/>
          <w:szCs w:val="24"/>
        </w:rPr>
        <w:t xml:space="preserve">  位于增江街东湖居委辖河东凤春山上。始建于1981年，2000年有重修。坐南朝北，是为纪念增城革命前辈为了人民的自由解放而壮烈牺牲的革命先烈而建的一座钢筋混凝土纪念建筑。“清明”时节，机关、学校、各界人士皆前往致祭。</w:t>
      </w:r>
    </w:p>
    <w:p w14:paraId="58151D71">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纪念碑建在边长10.2米的台基上，建筑占地104平方米。碑呈四方塔状，实心，共分两级，第一级边长4.1米，第二级从下往上有收分。正面塑“增城革命烈士纪念碑”九个大字。正面第一级镶嵌一方石匾，上刻有九百余字</w:t>
      </w:r>
      <w:r>
        <w:rPr>
          <w:rFonts w:hint="eastAsia" w:ascii="宋体" w:hAnsi="宋体" w:eastAsia="宋体" w:cs="宋体"/>
          <w:color w:val="auto"/>
          <w:sz w:val="24"/>
          <w:szCs w:val="24"/>
          <w:lang w:eastAsia="zh-CN"/>
        </w:rPr>
        <w:t>。</w:t>
      </w:r>
    </w:p>
    <w:p w14:paraId="238D3C0B">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2010年3月，公布为增城区登记保护文物单位。</w:t>
      </w:r>
    </w:p>
    <w:p w14:paraId="75C9D3D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textAlignment w:val="auto"/>
        <w:rPr>
          <w:rFonts w:hint="default" w:eastAsia="黑体"/>
          <w:color w:val="auto"/>
          <w:sz w:val="24"/>
          <w:lang w:val="en-US" w:eastAsia="zh-CN"/>
        </w:rPr>
      </w:pPr>
      <w:r>
        <w:rPr>
          <w:rFonts w:hint="eastAsia" w:eastAsia="黑体"/>
          <w:color w:val="auto"/>
          <w:sz w:val="24"/>
        </w:rPr>
        <w:drawing>
          <wp:inline distT="0" distB="0" distL="114300" distR="114300">
            <wp:extent cx="2484120" cy="1656080"/>
            <wp:effectExtent l="0" t="0" r="11430" b="1270"/>
            <wp:docPr id="31" name="图片 1" descr="G:/1-小陈/广州文物/汇编—增城市卷/增城照片/第二章 墓葬 纪念碑/第一节 古代墓葬/20.何济夫妇合葬墓.tif20.何济夫妇合葬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G:/1-小陈/广州文物/汇编—增城市卷/增城照片/第二章 墓葬 纪念碑/第一节 古代墓葬/20.何济夫妇合葬墓.tif20.何济夫妇合葬墓"/>
                    <pic:cNvPicPr>
                      <a:picLocks noChangeAspect="1"/>
                    </pic:cNvPicPr>
                  </pic:nvPicPr>
                  <pic:blipFill>
                    <a:blip r:embed="rId16"/>
                    <a:srcRect t="1183" b="1183"/>
                    <a:stretch>
                      <a:fillRect/>
                    </a:stretch>
                  </pic:blipFill>
                  <pic:spPr>
                    <a:xfrm>
                      <a:off x="0" y="0"/>
                      <a:ext cx="2484120" cy="1656080"/>
                    </a:xfrm>
                    <a:prstGeom prst="rect">
                      <a:avLst/>
                    </a:prstGeom>
                    <a:noFill/>
                    <a:ln>
                      <a:noFill/>
                    </a:ln>
                  </pic:spPr>
                </pic:pic>
              </a:graphicData>
            </a:graphic>
          </wp:inline>
        </w:drawing>
      </w:r>
      <w:r>
        <w:rPr>
          <w:rFonts w:hint="eastAsia" w:eastAsia="黑体"/>
          <w:color w:val="auto"/>
          <w:sz w:val="24"/>
          <w:lang w:val="en-US" w:eastAsia="zh-CN"/>
        </w:rPr>
        <w:t xml:space="preserve">  </w:t>
      </w:r>
      <w:r>
        <w:rPr>
          <w:color w:val="auto"/>
        </w:rPr>
        <w:drawing>
          <wp:inline distT="0" distB="0" distL="114300" distR="114300">
            <wp:extent cx="2566670" cy="1656080"/>
            <wp:effectExtent l="0" t="0" r="5080" b="1270"/>
            <wp:docPr id="32" name="图片 2" descr="G:/1-小陈/广州文物/汇编—增城市卷/增城照片/第二章 墓葬 纪念碑/第三节 纪念碑/1.增城革命烈士纪念碑.tif1.增城革命烈士纪念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G:/1-小陈/广州文物/汇编—增城市卷/增城照片/第二章 墓葬 纪念碑/第三节 纪念碑/1.增城革命烈士纪念碑.tif1.增城革命烈士纪念碑"/>
                    <pic:cNvPicPr>
                      <a:picLocks noChangeAspect="1"/>
                    </pic:cNvPicPr>
                  </pic:nvPicPr>
                  <pic:blipFill>
                    <a:blip r:embed="rId17"/>
                    <a:srcRect t="181" b="181"/>
                    <a:stretch>
                      <a:fillRect/>
                    </a:stretch>
                  </pic:blipFill>
                  <pic:spPr>
                    <a:xfrm>
                      <a:off x="0" y="0"/>
                      <a:ext cx="2566670" cy="1656080"/>
                    </a:xfrm>
                    <a:prstGeom prst="rect">
                      <a:avLst/>
                    </a:prstGeom>
                    <a:noFill/>
                    <a:ln>
                      <a:noFill/>
                    </a:ln>
                  </pic:spPr>
                </pic:pic>
              </a:graphicData>
            </a:graphic>
          </wp:inline>
        </w:drawing>
      </w:r>
    </w:p>
    <w:p w14:paraId="7174E140">
      <w:pPr>
        <w:keepNext w:val="0"/>
        <w:keepLines w:val="0"/>
        <w:pageBreakBefore w:val="0"/>
        <w:widowControl w:val="0"/>
        <w:kinsoku/>
        <w:wordWrap/>
        <w:overflowPunct/>
        <w:topLinePunct w:val="0"/>
        <w:autoSpaceDE/>
        <w:autoSpaceDN/>
        <w:bidi w:val="0"/>
        <w:adjustRightInd/>
        <w:snapToGrid/>
        <w:spacing w:line="0" w:lineRule="atLeast"/>
        <w:ind w:left="0" w:leftChars="0" w:firstLine="840" w:firstLineChars="400"/>
        <w:textAlignment w:val="auto"/>
        <w:rPr>
          <w:color w:val="auto"/>
        </w:rPr>
      </w:pPr>
      <w:r>
        <w:rPr>
          <w:rFonts w:hint="eastAsia" w:ascii="黑体" w:hAnsi="黑体" w:eastAsia="黑体" w:cs="黑体"/>
          <w:b w:val="0"/>
          <w:bCs w:val="0"/>
          <w:color w:val="auto"/>
          <w:kern w:val="2"/>
          <w:sz w:val="21"/>
          <w:szCs w:val="21"/>
          <w:lang w:val="en-US" w:eastAsia="zh-CN" w:bidi="ar-SA"/>
        </w:rPr>
        <w:t xml:space="preserve">图 </w:t>
      </w:r>
      <w:r>
        <w:rPr>
          <w:rFonts w:hint="eastAsia" w:ascii="黑体" w:hAnsi="黑体" w:eastAsia="黑体" w:cs="黑体"/>
          <w:b w:val="0"/>
          <w:bCs w:val="0"/>
          <w:color w:val="auto"/>
          <w:kern w:val="2"/>
          <w:sz w:val="21"/>
          <w:szCs w:val="21"/>
          <w:lang w:val="en-US" w:eastAsia="zh-CN" w:bidi="ar-SA"/>
        </w:rPr>
        <w:fldChar w:fldCharType="begin"/>
      </w:r>
      <w:r>
        <w:rPr>
          <w:rFonts w:hint="eastAsia" w:ascii="黑体" w:hAnsi="黑体" w:eastAsia="黑体" w:cs="黑体"/>
          <w:b w:val="0"/>
          <w:bCs w:val="0"/>
          <w:color w:val="auto"/>
          <w:kern w:val="2"/>
          <w:sz w:val="21"/>
          <w:szCs w:val="21"/>
          <w:lang w:val="en-US" w:eastAsia="zh-CN" w:bidi="ar-SA"/>
        </w:rPr>
        <w:instrText xml:space="preserve"> SEQ 图 \* ARABIC </w:instrText>
      </w:r>
      <w:r>
        <w:rPr>
          <w:rFonts w:hint="eastAsia" w:ascii="黑体" w:hAnsi="黑体" w:eastAsia="黑体" w:cs="黑体"/>
          <w:b w:val="0"/>
          <w:bCs w:val="0"/>
          <w:color w:val="auto"/>
          <w:kern w:val="2"/>
          <w:sz w:val="21"/>
          <w:szCs w:val="21"/>
          <w:lang w:val="en-US" w:eastAsia="zh-CN" w:bidi="ar-SA"/>
        </w:rPr>
        <w:fldChar w:fldCharType="separate"/>
      </w:r>
      <w:r>
        <w:rPr>
          <w:rFonts w:hint="eastAsia" w:ascii="黑体" w:hAnsi="黑体" w:eastAsia="黑体" w:cs="黑体"/>
          <w:b w:val="0"/>
          <w:bCs w:val="0"/>
          <w:color w:val="auto"/>
          <w:kern w:val="2"/>
          <w:sz w:val="21"/>
          <w:szCs w:val="21"/>
          <w:lang w:val="en-US" w:eastAsia="zh-CN" w:bidi="ar-SA"/>
        </w:rPr>
        <w:t>7</w:t>
      </w:r>
      <w:r>
        <w:rPr>
          <w:rFonts w:hint="eastAsia" w:ascii="黑体" w:hAnsi="黑体" w:eastAsia="黑体" w:cs="黑体"/>
          <w:b w:val="0"/>
          <w:bCs w:val="0"/>
          <w:color w:val="auto"/>
          <w:kern w:val="2"/>
          <w:sz w:val="21"/>
          <w:szCs w:val="21"/>
          <w:lang w:val="en-US" w:eastAsia="zh-CN" w:bidi="ar-SA"/>
        </w:rPr>
        <w:fldChar w:fldCharType="end"/>
      </w:r>
      <w:r>
        <w:rPr>
          <w:rFonts w:hint="eastAsia" w:ascii="黑体" w:hAnsi="黑体" w:eastAsia="黑体" w:cs="黑体"/>
          <w:b w:val="0"/>
          <w:bCs w:val="0"/>
          <w:color w:val="auto"/>
          <w:kern w:val="2"/>
          <w:sz w:val="21"/>
          <w:szCs w:val="21"/>
          <w:lang w:val="en-US" w:eastAsia="zh-CN" w:bidi="ar-SA"/>
        </w:rPr>
        <w:t xml:space="preserve">  </w:t>
      </w:r>
      <w:r>
        <w:rPr>
          <w:rFonts w:hint="eastAsia" w:ascii="黑体" w:hAnsi="黑体" w:eastAsia="黑体" w:cs="黑体"/>
          <w:b w:val="0"/>
          <w:bCs w:val="0"/>
          <w:color w:val="auto"/>
          <w:sz w:val="21"/>
          <w:szCs w:val="21"/>
        </w:rPr>
        <w:t>何济夫妇合葬墓</w:t>
      </w:r>
      <w:r>
        <w:rPr>
          <w:rFonts w:hint="eastAsia" w:ascii="黑体" w:hAnsi="黑体" w:eastAsia="黑体" w:cs="黑体"/>
          <w:b w:val="0"/>
          <w:bCs w:val="0"/>
          <w:color w:val="auto"/>
          <w:sz w:val="21"/>
          <w:szCs w:val="21"/>
          <w:lang w:val="en-US" w:eastAsia="zh-CN"/>
        </w:rPr>
        <w:t xml:space="preserve">                   </w:t>
      </w:r>
      <w:r>
        <w:rPr>
          <w:rFonts w:hint="eastAsia" w:ascii="黑体" w:hAnsi="黑体" w:eastAsia="黑体" w:cs="黑体"/>
          <w:b w:val="0"/>
          <w:bCs w:val="0"/>
          <w:color w:val="auto"/>
          <w:kern w:val="2"/>
          <w:sz w:val="21"/>
          <w:szCs w:val="21"/>
          <w:lang w:val="en-US" w:eastAsia="zh-CN" w:bidi="ar-SA"/>
        </w:rPr>
        <w:t xml:space="preserve">图 </w:t>
      </w:r>
      <w:r>
        <w:rPr>
          <w:rFonts w:hint="eastAsia" w:ascii="黑体" w:hAnsi="黑体" w:eastAsia="黑体" w:cs="黑体"/>
          <w:b w:val="0"/>
          <w:bCs w:val="0"/>
          <w:color w:val="auto"/>
          <w:kern w:val="2"/>
          <w:sz w:val="21"/>
          <w:szCs w:val="21"/>
          <w:lang w:val="en-US" w:eastAsia="zh-CN" w:bidi="ar-SA"/>
        </w:rPr>
        <w:fldChar w:fldCharType="begin"/>
      </w:r>
      <w:r>
        <w:rPr>
          <w:rFonts w:hint="eastAsia" w:ascii="黑体" w:hAnsi="黑体" w:eastAsia="黑体" w:cs="黑体"/>
          <w:b w:val="0"/>
          <w:bCs w:val="0"/>
          <w:color w:val="auto"/>
          <w:kern w:val="2"/>
          <w:sz w:val="21"/>
          <w:szCs w:val="21"/>
          <w:lang w:val="en-US" w:eastAsia="zh-CN" w:bidi="ar-SA"/>
        </w:rPr>
        <w:instrText xml:space="preserve"> SEQ 图 \* ARABIC </w:instrText>
      </w:r>
      <w:r>
        <w:rPr>
          <w:rFonts w:hint="eastAsia" w:ascii="黑体" w:hAnsi="黑体" w:eastAsia="黑体" w:cs="黑体"/>
          <w:b w:val="0"/>
          <w:bCs w:val="0"/>
          <w:color w:val="auto"/>
          <w:kern w:val="2"/>
          <w:sz w:val="21"/>
          <w:szCs w:val="21"/>
          <w:lang w:val="en-US" w:eastAsia="zh-CN" w:bidi="ar-SA"/>
        </w:rPr>
        <w:fldChar w:fldCharType="separate"/>
      </w:r>
      <w:r>
        <w:rPr>
          <w:rFonts w:hint="eastAsia" w:ascii="黑体" w:hAnsi="黑体" w:eastAsia="黑体" w:cs="黑体"/>
          <w:b w:val="0"/>
          <w:bCs w:val="0"/>
          <w:color w:val="auto"/>
          <w:kern w:val="2"/>
          <w:sz w:val="21"/>
          <w:szCs w:val="21"/>
          <w:lang w:val="en-US" w:eastAsia="zh-CN" w:bidi="ar-SA"/>
        </w:rPr>
        <w:t>8</w:t>
      </w:r>
      <w:r>
        <w:rPr>
          <w:rFonts w:hint="eastAsia" w:ascii="黑体" w:hAnsi="黑体" w:eastAsia="黑体" w:cs="黑体"/>
          <w:b w:val="0"/>
          <w:bCs w:val="0"/>
          <w:color w:val="auto"/>
          <w:kern w:val="2"/>
          <w:sz w:val="21"/>
          <w:szCs w:val="21"/>
          <w:lang w:val="en-US" w:eastAsia="zh-CN" w:bidi="ar-SA"/>
        </w:rPr>
        <w:fldChar w:fldCharType="end"/>
      </w:r>
      <w:r>
        <w:rPr>
          <w:rFonts w:hint="eastAsia" w:ascii="黑体" w:hAnsi="黑体" w:eastAsia="黑体" w:cs="黑体"/>
          <w:b w:val="0"/>
          <w:bCs w:val="0"/>
          <w:color w:val="auto"/>
          <w:kern w:val="2"/>
          <w:sz w:val="21"/>
          <w:szCs w:val="21"/>
          <w:lang w:val="en-US" w:eastAsia="zh-CN" w:bidi="ar-SA"/>
        </w:rPr>
        <w:t xml:space="preserve">  </w:t>
      </w:r>
      <w:r>
        <w:rPr>
          <w:rFonts w:hint="eastAsia" w:ascii="黑体" w:hAnsi="黑体" w:eastAsia="黑体" w:cs="黑体"/>
          <w:b w:val="0"/>
          <w:bCs w:val="0"/>
          <w:color w:val="auto"/>
          <w:sz w:val="21"/>
          <w:szCs w:val="21"/>
        </w:rPr>
        <w:t>增城革命烈士纪念碑</w:t>
      </w:r>
    </w:p>
    <w:p w14:paraId="0EAC69B0">
      <w:pPr>
        <w:rPr>
          <w:rFonts w:hint="eastAsia" w:ascii="黑体" w:hAnsi="黑体" w:eastAsia="黑体" w:cs="黑体"/>
          <w:color w:val="auto"/>
          <w:lang w:eastAsia="zh-CN"/>
        </w:rPr>
      </w:pPr>
      <w:r>
        <w:rPr>
          <w:rFonts w:hint="eastAsia" w:ascii="黑体" w:hAnsi="黑体" w:eastAsia="黑体" w:cs="黑体"/>
          <w:color w:val="auto"/>
          <w:lang w:eastAsia="zh-CN"/>
        </w:rPr>
        <w:br w:type="page"/>
      </w:r>
    </w:p>
    <w:p w14:paraId="2917969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 xml:space="preserve">杉山吓遗址  </w:t>
      </w:r>
      <w:r>
        <w:rPr>
          <w:rFonts w:hint="eastAsia" w:ascii="宋体" w:hAnsi="宋体" w:eastAsia="宋体" w:cs="宋体"/>
          <w:color w:val="auto"/>
          <w:sz w:val="24"/>
          <w:szCs w:val="24"/>
          <w:lang w:val="en-US" w:eastAsia="zh-CN"/>
        </w:rPr>
        <w:t>位于增江街五星村樟树吓社西侧山岗上。该山北接蕉石岭、牛皮冚，西、南接蕉石岭高山区，东南与太牌山相接，东侧为农田、水塘，与乡道Y346相邻，可望树吓村背扶山。当地村民称该山土名杉山吓，故名杉山吓遗址。</w:t>
      </w:r>
    </w:p>
    <w:p w14:paraId="38E2CCE5">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color w:val="auto"/>
          <w:sz w:val="24"/>
          <w:szCs w:val="24"/>
          <w:lang w:val="en-US" w:eastAsia="zh-CN" w:bidi="en-US"/>
        </w:rPr>
      </w:pPr>
      <w:r>
        <w:rPr>
          <w:rFonts w:hint="eastAsia" w:ascii="宋体" w:hAnsi="宋体" w:eastAsia="宋体" w:cs="宋体"/>
          <w:color w:val="auto"/>
          <w:sz w:val="24"/>
          <w:szCs w:val="24"/>
          <w:lang w:val="en-US" w:eastAsia="zh-CN" w:bidi="en-US"/>
        </w:rPr>
        <w:t>山岗平面呈不规则形，形体大，地势陡峭，面积约220000平方米。山岗种植荔枝、龙眼、柿子、橄榄等，局部有桉树、竹林、松树，地表杂草丛生，枯叶遍地。</w:t>
      </w:r>
    </w:p>
    <w:p w14:paraId="5253F99C">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color w:val="auto"/>
          <w:sz w:val="24"/>
          <w:szCs w:val="24"/>
          <w:lang w:val="en-US" w:eastAsia="zh-CN" w:bidi="en-US"/>
        </w:rPr>
      </w:pPr>
      <w:r>
        <w:rPr>
          <w:rFonts w:hint="eastAsia" w:ascii="宋体" w:hAnsi="宋体" w:eastAsia="宋体" w:cs="宋体"/>
          <w:color w:val="auto"/>
          <w:sz w:val="24"/>
          <w:szCs w:val="24"/>
          <w:lang w:val="en-US" w:eastAsia="zh-CN" w:bidi="en-US"/>
        </w:rPr>
        <w:t>采集新石器时代晚期至商代、西周至春秋两个时期遗物5件，皆为陶器残片，分布范围约800平方米。</w:t>
      </w:r>
    </w:p>
    <w:p w14:paraId="145B7944">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b w:val="0"/>
          <w:bCs w:val="0"/>
          <w:color w:val="auto"/>
          <w:sz w:val="24"/>
          <w:szCs w:val="24"/>
          <w:lang w:val="en-US" w:eastAsia="zh-CN" w:bidi="en-US"/>
        </w:rPr>
      </w:pPr>
      <w:r>
        <w:rPr>
          <w:rFonts w:hint="eastAsia" w:ascii="宋体" w:hAnsi="宋体" w:eastAsia="宋体" w:cs="宋体"/>
          <w:b/>
          <w:bCs/>
          <w:color w:val="auto"/>
          <w:sz w:val="24"/>
          <w:szCs w:val="24"/>
          <w:lang w:val="en-US" w:eastAsia="zh-CN" w:bidi="en-US"/>
        </w:rPr>
        <w:t xml:space="preserve">牛皮冚遗址  </w:t>
      </w:r>
      <w:r>
        <w:rPr>
          <w:rFonts w:hint="eastAsia" w:ascii="宋体" w:hAnsi="宋体" w:eastAsia="宋体" w:cs="宋体"/>
          <w:b w:val="0"/>
          <w:bCs w:val="0"/>
          <w:color w:val="auto"/>
          <w:sz w:val="24"/>
          <w:szCs w:val="24"/>
          <w:lang w:val="en-US" w:eastAsia="zh-CN" w:bidi="en-US"/>
        </w:rPr>
        <w:t>位于增江街布加岭村南部山岗上，其北侧西与布加岭相邻，东为香蕉林、水塘，西接蕉石岭高山区的余脉，南接杉山吓山。当地村民称之为牛皮冚，故名。</w:t>
      </w:r>
    </w:p>
    <w:p w14:paraId="053989D8">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b w:val="0"/>
          <w:bCs w:val="0"/>
          <w:color w:val="auto"/>
          <w:sz w:val="24"/>
          <w:szCs w:val="24"/>
          <w:lang w:val="en-US" w:eastAsia="zh-CN" w:bidi="en-US"/>
        </w:rPr>
      </w:pPr>
      <w:r>
        <w:rPr>
          <w:rFonts w:hint="eastAsia" w:ascii="宋体" w:hAnsi="宋体" w:eastAsia="宋体" w:cs="宋体"/>
          <w:b w:val="0"/>
          <w:bCs w:val="0"/>
          <w:color w:val="auto"/>
          <w:sz w:val="24"/>
          <w:szCs w:val="24"/>
          <w:lang w:val="en-US" w:eastAsia="zh-CN" w:bidi="en-US"/>
        </w:rPr>
        <w:t>山岗平面呈不规则长条形，面积约63000平方米。山上种植有较多荔枝树、桉树，另有松树、杂木、竹子等，地表大部分区域杂草丛生，枯叶遍地；山岗东北坡坡脚及东坡近坡顶区域地表无杂草枯叶。</w:t>
      </w:r>
    </w:p>
    <w:p w14:paraId="53AF682D">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b w:val="0"/>
          <w:bCs w:val="0"/>
          <w:color w:val="auto"/>
          <w:sz w:val="24"/>
          <w:szCs w:val="24"/>
          <w:lang w:val="en-US" w:eastAsia="zh-CN" w:bidi="en-US"/>
        </w:rPr>
      </w:pPr>
      <w:r>
        <w:rPr>
          <w:rFonts w:hint="eastAsia" w:ascii="宋体" w:hAnsi="宋体" w:eastAsia="宋体" w:cs="宋体"/>
          <w:b w:val="0"/>
          <w:bCs w:val="0"/>
          <w:color w:val="auto"/>
          <w:sz w:val="24"/>
          <w:szCs w:val="24"/>
          <w:lang w:val="en-US" w:eastAsia="zh-CN" w:bidi="en-US"/>
        </w:rPr>
        <w:t>在山岗北坡东部近坡底采集西周至春秋时期遗物4件，皆为陶器残片。</w:t>
      </w:r>
    </w:p>
    <w:p w14:paraId="2DD82190">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蕉石岭遗址  </w:t>
      </w:r>
      <w:r>
        <w:rPr>
          <w:rFonts w:hint="eastAsia" w:ascii="宋体" w:hAnsi="宋体" w:eastAsia="宋体" w:cs="宋体"/>
          <w:b w:val="0"/>
          <w:bCs w:val="0"/>
          <w:color w:val="auto"/>
          <w:sz w:val="24"/>
          <w:szCs w:val="24"/>
          <w:lang w:val="en-US" w:eastAsia="zh-CN"/>
        </w:rPr>
        <w:t>增江街五星村田心围社西侧山岗上，该山北邻乡道Y346，与路对面秃光岭相望，西接牛皮冚，南接杉山吓山，东侧为地势低平的农田，与洪兴山庄西侧山（石壁仔）相望，山脚下有骏郎汽车用品厂、五星村村委会、五星村卫生站。2011年调查时发现该遗址，定名为蕉石岭遗址。</w:t>
      </w:r>
    </w:p>
    <w:p w14:paraId="07D2A83E">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山岗平面呈不规则长条形，形体大，地势陡峭，面积约为104000平方米。山岗种植有荔枝、龙眼、橄榄、柿子等，局部有竹林、桉树，地表杂草丛生，枯叶遍地；山腰以上区域处于荒置状态，地表杂草茂盛。</w:t>
      </w:r>
    </w:p>
    <w:p w14:paraId="463AB867">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2011年调查时在汽车用品厂背后山腰采集少许战国至南越国、唐宋时期方格纹、素面陶片。</w:t>
      </w:r>
    </w:p>
    <w:p w14:paraId="1E6AD2DE">
      <w:pPr>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br w:type="page"/>
      </w:r>
    </w:p>
    <w:p w14:paraId="363621D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近年来，</w:t>
      </w:r>
      <w:r>
        <w:rPr>
          <w:rFonts w:hint="eastAsia" w:ascii="宋体" w:hAnsi="宋体" w:cs="宋体"/>
          <w:color w:val="auto"/>
          <w:kern w:val="2"/>
          <w:sz w:val="24"/>
          <w:szCs w:val="24"/>
          <w:highlight w:val="none"/>
          <w:lang w:val="en-US" w:eastAsia="zh-CN" w:bidi="ar-SA"/>
        </w:rPr>
        <w:t>广州市文物考古研究院</w:t>
      </w:r>
      <w:r>
        <w:rPr>
          <w:rFonts w:hint="eastAsia" w:ascii="宋体" w:hAnsi="宋体" w:eastAsia="宋体" w:cs="宋体"/>
          <w:color w:val="auto"/>
          <w:kern w:val="2"/>
          <w:sz w:val="24"/>
          <w:szCs w:val="24"/>
          <w:highlight w:val="none"/>
          <w:lang w:val="en-US" w:eastAsia="zh-CN" w:bidi="ar-SA"/>
        </w:rPr>
        <w:t>在该项目周边开展过</w:t>
      </w:r>
      <w:r>
        <w:rPr>
          <w:rFonts w:hint="eastAsia" w:ascii="宋体" w:hAnsi="宋体" w:cs="宋体"/>
          <w:color w:val="auto"/>
          <w:kern w:val="2"/>
          <w:sz w:val="24"/>
          <w:szCs w:val="24"/>
          <w:highlight w:val="none"/>
          <w:lang w:val="en-US" w:eastAsia="zh-CN" w:bidi="ar-SA"/>
        </w:rPr>
        <w:t>一系列</w:t>
      </w:r>
      <w:r>
        <w:rPr>
          <w:rFonts w:hint="eastAsia" w:ascii="宋体" w:hAnsi="宋体" w:eastAsia="宋体" w:cs="宋体"/>
          <w:color w:val="auto"/>
          <w:kern w:val="2"/>
          <w:sz w:val="24"/>
          <w:szCs w:val="24"/>
          <w:highlight w:val="none"/>
          <w:lang w:val="en-US" w:eastAsia="zh-CN" w:bidi="ar-SA"/>
        </w:rPr>
        <w:t>考古工作。</w:t>
      </w:r>
    </w:p>
    <w:p w14:paraId="37CF9D9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2016年3月，对增城区增江街陆村村168.201亩地块进行了考古调查、勘探工作，完成勘探面积15300平方米，发现清代墓葬2座。</w:t>
      </w:r>
    </w:p>
    <w:p w14:paraId="041C73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2016年4月，对增城区增江街狮尾路132.834亩地块进行了考古调查、勘探工作，完成勘探面积11300平方米，未发现古代文化遗存。</w:t>
      </w:r>
    </w:p>
    <w:p w14:paraId="343280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2017年-2018年，对</w:t>
      </w:r>
      <w:r>
        <w:rPr>
          <w:rFonts w:hint="default" w:ascii="宋体" w:hAnsi="宋体" w:eastAsia="宋体" w:cs="宋体"/>
          <w:color w:val="auto"/>
          <w:sz w:val="24"/>
          <w:szCs w:val="24"/>
          <w:lang w:val="en-US" w:eastAsia="zh-CN"/>
        </w:rPr>
        <w:t>增城区增江街狮尾路61.168亩地块</w:t>
      </w:r>
      <w:r>
        <w:rPr>
          <w:rFonts w:hint="eastAsia" w:ascii="宋体" w:hAnsi="宋体" w:eastAsia="宋体" w:cs="宋体"/>
          <w:color w:val="auto"/>
          <w:sz w:val="24"/>
          <w:szCs w:val="24"/>
          <w:lang w:val="en-US" w:eastAsia="zh-CN"/>
        </w:rPr>
        <w:t>进行了考古调查、勘探工作，完成调查面积40778.39平方米、勘探面积4000平方米，未发现古代文化遗存。</w:t>
      </w:r>
    </w:p>
    <w:p w14:paraId="206D3F5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2018年6-7月，对</w:t>
      </w:r>
      <w:r>
        <w:rPr>
          <w:rFonts w:hint="default" w:ascii="宋体" w:hAnsi="宋体" w:eastAsia="宋体" w:cs="宋体"/>
          <w:color w:val="auto"/>
          <w:sz w:val="24"/>
          <w:szCs w:val="24"/>
          <w:lang w:val="en-US" w:eastAsia="zh-CN"/>
        </w:rPr>
        <w:t>增城区增江街桥东社区、光辉村46.449亩地块</w:t>
      </w:r>
      <w:r>
        <w:rPr>
          <w:rFonts w:hint="eastAsia" w:ascii="宋体" w:hAnsi="宋体" w:eastAsia="宋体" w:cs="宋体"/>
          <w:color w:val="auto"/>
          <w:sz w:val="24"/>
          <w:szCs w:val="24"/>
          <w:lang w:val="en-US" w:eastAsia="zh-CN"/>
        </w:rPr>
        <w:t>进行了考古调查、勘探工作，完成调查面积30966.19平方米、勘探面积15000平方米，未发现古代文化遗存。</w:t>
      </w:r>
    </w:p>
    <w:p w14:paraId="43AEADE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2021年7月-8月，对增城区增江街纬六路北侧121.472亩地块进行了考古调查工作，未发现古代文化遗存。</w:t>
      </w:r>
    </w:p>
    <w:p w14:paraId="7C02F031">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269865" cy="3380105"/>
            <wp:effectExtent l="0" t="0" r="6985" b="10795"/>
            <wp:docPr id="1" name="图片 1" descr="D:/1-小陈/1-上传/87-增城区增江街五星村38.548亩地块/增城区增江街五星村38.548亩地块/15、其他相关资料/其他/历年考古情况示意图.jpg历年考古情况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小陈/1-上传/87-增城区增江街五星村38.548亩地块/增城区增江街五星村38.548亩地块/15、其他相关资料/其他/历年考古情况示意图.jpg历年考古情况示意图"/>
                    <pic:cNvPicPr>
                      <a:picLocks noChangeAspect="1"/>
                    </pic:cNvPicPr>
                  </pic:nvPicPr>
                  <pic:blipFill>
                    <a:blip r:embed="rId18"/>
                    <a:srcRect t="3964" b="3964"/>
                    <a:stretch>
                      <a:fillRect/>
                    </a:stretch>
                  </pic:blipFill>
                  <pic:spPr>
                    <a:xfrm>
                      <a:off x="0" y="0"/>
                      <a:ext cx="5269865" cy="3380105"/>
                    </a:xfrm>
                    <a:prstGeom prst="rect">
                      <a:avLst/>
                    </a:prstGeom>
                  </pic:spPr>
                </pic:pic>
              </a:graphicData>
            </a:graphic>
          </wp:inline>
        </w:drawing>
      </w:r>
    </w:p>
    <w:p w14:paraId="7C232433">
      <w:pPr>
        <w:keepNext w:val="0"/>
        <w:keepLines w:val="0"/>
        <w:pageBreakBefore w:val="0"/>
        <w:widowControl/>
        <w:suppressLineNumbers w:val="0"/>
        <w:kinsoku/>
        <w:wordWrap/>
        <w:overflowPunct/>
        <w:topLinePunct w:val="0"/>
        <w:autoSpaceDE/>
        <w:autoSpaceDN/>
        <w:bidi w:val="0"/>
        <w:adjustRightInd/>
        <w:snapToGrid/>
        <w:spacing w:line="0" w:lineRule="atLeast"/>
        <w:ind w:firstLine="0"/>
        <w:jc w:val="center"/>
        <w:textAlignment w:val="auto"/>
        <w:rPr>
          <w:rFonts w:hint="default" w:ascii="黑体" w:hAnsi="黑体" w:eastAsia="黑体" w:cs="黑体"/>
          <w:color w:val="auto"/>
          <w:kern w:val="0"/>
          <w:sz w:val="21"/>
          <w:szCs w:val="21"/>
          <w:highlight w:val="none"/>
          <w:lang w:val="en-US" w:eastAsia="zh-CN" w:bidi="ar"/>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9</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w:t>
      </w:r>
      <w:r>
        <w:rPr>
          <w:rFonts w:hint="eastAsia" w:ascii="黑体" w:hAnsi="黑体" w:eastAsia="黑体" w:cs="黑体"/>
          <w:color w:val="auto"/>
          <w:sz w:val="21"/>
          <w:szCs w:val="21"/>
          <w:highlight w:val="none"/>
          <w:lang w:val="en-US" w:eastAsia="zh-CN"/>
        </w:rPr>
        <w:t>地块周边历年考古工作情况（黄色标记点为项目位置）</w:t>
      </w:r>
    </w:p>
    <w:p w14:paraId="7801A24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olor w:val="auto"/>
          <w:kern w:val="0"/>
        </w:rPr>
      </w:pPr>
      <w:r>
        <w:rPr>
          <w:rFonts w:hint="eastAsia" w:ascii="宋体" w:hAnsi="宋体" w:cs="宋体"/>
          <w:color w:val="auto"/>
          <w:lang w:eastAsia="zh-CN"/>
        </w:rPr>
        <w:br w:type="page"/>
      </w:r>
    </w:p>
    <w:bookmarkEnd w:id="45"/>
    <w:bookmarkEnd w:id="46"/>
    <w:bookmarkEnd w:id="47"/>
    <w:bookmarkEnd w:id="48"/>
    <w:p w14:paraId="5148303C">
      <w:pPr>
        <w:pStyle w:val="3"/>
        <w:ind w:firstLine="560" w:firstLineChars="200"/>
        <w:rPr>
          <w:rFonts w:hint="eastAsia"/>
          <w:b w:val="0"/>
          <w:bCs/>
          <w:color w:val="auto"/>
          <w:highlight w:val="none"/>
          <w:lang w:val="en-US" w:eastAsia="zh-CN"/>
        </w:rPr>
      </w:pPr>
      <w:bookmarkStart w:id="49" w:name="_Toc21968"/>
      <w:bookmarkStart w:id="50" w:name="_Toc6208"/>
      <w:bookmarkStart w:id="51" w:name="_Toc2062871098"/>
      <w:r>
        <w:rPr>
          <w:rFonts w:hint="eastAsia"/>
          <w:b w:val="0"/>
          <w:bCs/>
          <w:color w:val="auto"/>
          <w:highlight w:val="none"/>
          <w:lang w:val="en-US" w:eastAsia="zh-CN"/>
        </w:rPr>
        <w:t>（三）现场调查</w:t>
      </w:r>
      <w:bookmarkEnd w:id="49"/>
      <w:bookmarkEnd w:id="50"/>
    </w:p>
    <w:p w14:paraId="566B31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考古调查覆盖整个</w:t>
      </w:r>
      <w:r>
        <w:rPr>
          <w:rFonts w:hint="eastAsia" w:ascii="宋体" w:hAnsi="宋体" w:cs="宋体"/>
          <w:color w:val="auto"/>
          <w:kern w:val="0"/>
          <w:sz w:val="24"/>
          <w:szCs w:val="24"/>
          <w:lang w:val="en-US" w:eastAsia="zh-CN" w:bidi="ar"/>
        </w:rPr>
        <w:t>项目地块范围</w:t>
      </w:r>
      <w:r>
        <w:rPr>
          <w:rFonts w:hint="eastAsia" w:ascii="宋体" w:hAnsi="宋体" w:eastAsia="宋体" w:cs="宋体"/>
          <w:color w:val="auto"/>
          <w:kern w:val="0"/>
          <w:sz w:val="24"/>
          <w:szCs w:val="24"/>
          <w:lang w:val="en-US" w:eastAsia="zh-CN" w:bidi="ar"/>
        </w:rPr>
        <w:t>，</w:t>
      </w:r>
      <w:r>
        <w:rPr>
          <w:rFonts w:hint="eastAsia" w:ascii="宋体" w:hAnsi="宋体" w:cs="宋体"/>
          <w:bCs/>
          <w:color w:val="auto"/>
          <w:kern w:val="0"/>
          <w:sz w:val="24"/>
          <w:szCs w:val="24"/>
          <w:lang w:val="en-US" w:eastAsia="zh-CN"/>
        </w:rPr>
        <w:t>工作时间为2个工作日，已于2025年9月16-17日完成全部区域的考古调查工作。</w:t>
      </w:r>
      <w:r>
        <w:rPr>
          <w:rFonts w:hint="eastAsia" w:ascii="宋体" w:hAnsi="宋体" w:eastAsia="宋体" w:cs="宋体"/>
          <w:color w:val="auto"/>
          <w:kern w:val="0"/>
          <w:sz w:val="24"/>
          <w:szCs w:val="24"/>
          <w:lang w:val="en-US" w:eastAsia="zh-CN" w:bidi="ar"/>
        </w:rPr>
        <w:t>调查采取“拉网式”调查法，小组由</w:t>
      </w:r>
      <w:r>
        <w:rPr>
          <w:rFonts w:hint="eastAsia" w:ascii="宋体" w:hAnsi="宋体" w:cs="宋体"/>
          <w:color w:val="auto"/>
          <w:kern w:val="0"/>
          <w:sz w:val="24"/>
          <w:szCs w:val="24"/>
          <w:lang w:val="en-US" w:eastAsia="zh-CN" w:bidi="ar"/>
        </w:rPr>
        <w:t>张百祥、黄玉清、秦东辉、刘子轩</w:t>
      </w:r>
      <w:r>
        <w:rPr>
          <w:rFonts w:hint="eastAsia" w:ascii="宋体" w:hAnsi="宋体" w:eastAsia="宋体" w:cs="宋体"/>
          <w:color w:val="auto"/>
          <w:kern w:val="0"/>
          <w:sz w:val="24"/>
          <w:szCs w:val="24"/>
          <w:lang w:val="en-US" w:eastAsia="zh-CN" w:bidi="ar"/>
        </w:rPr>
        <w:t>等人组成，对所有可能埋藏古代遗存的区域进行徒步踏查，采集地表文化遗物，并尽可能地利用断崖剖面观察文化堆积、掌握更为准确的信息。</w:t>
      </w:r>
    </w:p>
    <w:p w14:paraId="5D5E13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auto"/>
          <w:kern w:val="36"/>
          <w:sz w:val="24"/>
          <w:szCs w:val="24"/>
          <w:lang w:val="en-US" w:eastAsia="zh-CN"/>
        </w:rPr>
      </w:pPr>
      <w:r>
        <w:rPr>
          <w:rFonts w:hint="eastAsia" w:ascii="宋体" w:hAnsi="宋体" w:cs="宋体"/>
          <w:color w:val="auto"/>
          <w:sz w:val="24"/>
          <w:szCs w:val="24"/>
          <w:lang w:val="en-US" w:eastAsia="zh-CN"/>
        </w:rPr>
        <w:t>经调查，增城区增江街五星村38.548亩地块位于增城区增江街五星村西南部，增城区北绕线西侧，蕉石岭森林公园北部，布加岭东南部。该地块总面积25698.8平方米。地块都为山岗，坡度平缓，地块较好的保存了山体的原貌，地势西南高东北低，部分区域较为陡峭，地表种植有松树、灌木等植被。调查时发现一件石斧、个别早期陶片。</w:t>
      </w:r>
    </w:p>
    <w:p w14:paraId="123164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此次考古调查不足以全面反映地块内的文物埋藏情况。结合周边考古成果，为确认该地块范围内的文物埋藏情况，需对该地块作进一步的考古勘探。</w:t>
      </w:r>
    </w:p>
    <w:p w14:paraId="79E9A9A1">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drawing>
          <wp:inline distT="0" distB="0" distL="114300" distR="114300">
            <wp:extent cx="5316855" cy="3548380"/>
            <wp:effectExtent l="0" t="0" r="17145" b="13970"/>
            <wp:docPr id="33" name="图片 33" descr="D:/1-小陈/1-上传/87-增城区增江街五星村38.548亩地块/增城区增江街五星村38.548亩地块/15、其他相关资料/调查照片/接洽照/接洽照（东北-西南）.JPG接洽照（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1-小陈/1-上传/87-增城区增江街五星村38.548亩地块/增城区增江街五星村38.548亩地块/15、其他相关资料/调查照片/接洽照/接洽照（东北-西南）.JPG接洽照（东北-西南）"/>
                    <pic:cNvPicPr>
                      <a:picLocks noChangeAspect="1"/>
                    </pic:cNvPicPr>
                  </pic:nvPicPr>
                  <pic:blipFill>
                    <a:blip r:embed="rId19"/>
                    <a:srcRect l="54" r="54"/>
                    <a:stretch>
                      <a:fillRect/>
                    </a:stretch>
                  </pic:blipFill>
                  <pic:spPr>
                    <a:xfrm>
                      <a:off x="0" y="0"/>
                      <a:ext cx="5316855" cy="3548380"/>
                    </a:xfrm>
                    <a:prstGeom prst="rect">
                      <a:avLst/>
                    </a:prstGeom>
                  </pic:spPr>
                </pic:pic>
              </a:graphicData>
            </a:graphic>
          </wp:inline>
        </w:drawing>
      </w:r>
    </w:p>
    <w:p w14:paraId="242A818B">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t xml:space="preserve">图 </w:t>
      </w:r>
      <w:r>
        <w:rPr>
          <w:rFonts w:hint="eastAsia" w:ascii="黑体" w:hAnsi="黑体" w:eastAsia="黑体" w:cs="黑体"/>
          <w:color w:val="auto"/>
          <w:sz w:val="21"/>
          <w:szCs w:val="21"/>
          <w:lang w:val="zh-CN"/>
        </w:rPr>
        <w:fldChar w:fldCharType="begin"/>
      </w:r>
      <w:r>
        <w:rPr>
          <w:rFonts w:hint="eastAsia" w:ascii="黑体" w:hAnsi="黑体" w:eastAsia="黑体" w:cs="黑体"/>
          <w:color w:val="auto"/>
          <w:sz w:val="21"/>
          <w:szCs w:val="21"/>
          <w:lang w:val="zh-CN"/>
        </w:rPr>
        <w:instrText xml:space="preserve"> SEQ 图 \* ARABIC </w:instrText>
      </w:r>
      <w:r>
        <w:rPr>
          <w:rFonts w:hint="eastAsia" w:ascii="黑体" w:hAnsi="黑体" w:eastAsia="黑体" w:cs="黑体"/>
          <w:color w:val="auto"/>
          <w:sz w:val="21"/>
          <w:szCs w:val="21"/>
          <w:lang w:val="zh-CN"/>
        </w:rPr>
        <w:fldChar w:fldCharType="separate"/>
      </w:r>
      <w:r>
        <w:rPr>
          <w:rFonts w:hint="eastAsia" w:ascii="黑体" w:hAnsi="黑体" w:eastAsia="黑体" w:cs="黑体"/>
          <w:color w:val="auto"/>
          <w:sz w:val="21"/>
          <w:szCs w:val="21"/>
          <w:lang w:val="zh-CN"/>
        </w:rPr>
        <w:t>10</w:t>
      </w:r>
      <w:r>
        <w:rPr>
          <w:rFonts w:hint="eastAsia" w:ascii="黑体" w:hAnsi="黑体" w:eastAsia="黑体" w:cs="黑体"/>
          <w:color w:val="auto"/>
          <w:sz w:val="21"/>
          <w:szCs w:val="21"/>
          <w:lang w:val="zh-CN"/>
        </w:rPr>
        <w:fldChar w:fldCharType="end"/>
      </w:r>
      <w:r>
        <w:rPr>
          <w:rFonts w:hint="eastAsia" w:ascii="黑体" w:hAnsi="黑体" w:eastAsia="黑体" w:cs="黑体"/>
          <w:color w:val="auto"/>
          <w:sz w:val="21"/>
          <w:szCs w:val="21"/>
          <w:lang w:val="zh-CN"/>
        </w:rPr>
        <w:t xml:space="preserve">  </w:t>
      </w:r>
      <w:r>
        <w:rPr>
          <w:rFonts w:hint="eastAsia" w:ascii="黑体" w:hAnsi="黑体" w:eastAsia="黑体" w:cs="黑体"/>
          <w:color w:val="auto"/>
          <w:sz w:val="21"/>
          <w:szCs w:val="21"/>
          <w:lang w:val="en-US" w:eastAsia="zh-CN"/>
        </w:rPr>
        <w:t>工作人员</w:t>
      </w:r>
      <w:r>
        <w:rPr>
          <w:rFonts w:hint="eastAsia" w:ascii="黑体" w:hAnsi="黑体" w:eastAsia="黑体" w:cs="黑体"/>
          <w:color w:val="auto"/>
          <w:sz w:val="21"/>
          <w:szCs w:val="21"/>
          <w:lang w:val="zh-CN"/>
        </w:rPr>
        <w:t>现场</w:t>
      </w:r>
      <w:r>
        <w:rPr>
          <w:rFonts w:hint="eastAsia" w:ascii="黑体" w:hAnsi="黑体" w:eastAsia="黑体" w:cs="黑体"/>
          <w:color w:val="auto"/>
          <w:sz w:val="21"/>
          <w:szCs w:val="21"/>
          <w:lang w:val="en-US" w:eastAsia="zh-CN"/>
        </w:rPr>
        <w:t>核对地块红线范围（东北-西南）</w:t>
      </w:r>
    </w:p>
    <w:p w14:paraId="14794FDE">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br w:type="page"/>
      </w:r>
    </w:p>
    <w:p w14:paraId="7EC38633">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p>
    <w:p w14:paraId="231394A2">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drawing>
          <wp:inline distT="0" distB="0" distL="114300" distR="114300">
            <wp:extent cx="5316855" cy="3548380"/>
            <wp:effectExtent l="0" t="0" r="17145" b="13970"/>
            <wp:docPr id="34" name="图片 34" descr="D:/1-小陈/1-上传/87-增城区增江街五星村38.548亩地块/增城区增江街五星村38.548亩地块/15、其他相关资料/调查照片/踏查照/踏查照（东南-西北）.jpg踏查照（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1-小陈/1-上传/87-增城区增江街五星村38.548亩地块/增城区增江街五星村38.548亩地块/15、其他相关资料/调查照片/踏查照/踏查照（东南-西北）.jpg踏查照（东南-西北）"/>
                    <pic:cNvPicPr>
                      <a:picLocks noChangeAspect="1"/>
                    </pic:cNvPicPr>
                  </pic:nvPicPr>
                  <pic:blipFill>
                    <a:blip r:embed="rId20"/>
                    <a:srcRect t="5512" b="5512"/>
                    <a:stretch>
                      <a:fillRect/>
                    </a:stretch>
                  </pic:blipFill>
                  <pic:spPr>
                    <a:xfrm>
                      <a:off x="0" y="0"/>
                      <a:ext cx="5316855" cy="3548380"/>
                    </a:xfrm>
                    <a:prstGeom prst="rect">
                      <a:avLst/>
                    </a:prstGeom>
                  </pic:spPr>
                </pic:pic>
              </a:graphicData>
            </a:graphic>
          </wp:inline>
        </w:drawing>
      </w:r>
    </w:p>
    <w:p w14:paraId="213AE822">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11</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工作人员现场踏查（东南-西北）</w:t>
      </w:r>
    </w:p>
    <w:p w14:paraId="4BCB0AFD">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14C23A97">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3DC66051">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r>
        <w:rPr>
          <w:rFonts w:hint="eastAsia"/>
          <w:color w:val="auto"/>
          <w:lang w:val="zh-CN"/>
        </w:rPr>
        <w:drawing>
          <wp:inline distT="0" distB="0" distL="114300" distR="114300">
            <wp:extent cx="5316855" cy="3544570"/>
            <wp:effectExtent l="0" t="0" r="17145" b="17780"/>
            <wp:docPr id="35" name="图片 35" descr="D:/1-小陈/1-上传/87-增城区增江街五星村38.548亩地块/增城区增江街五星村38.548亩地块/15、其他相关资料/调查照片/地貌照/地貌照（东北-西南） (2).jpg地貌照（东北-西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1-小陈/1-上传/87-增城区增江街五星村38.548亩地块/增城区增江街五星村38.548亩地块/15、其他相关资料/调查照片/地貌照/地貌照（东北-西南） (2).jpg地貌照（东北-西南） (2)"/>
                    <pic:cNvPicPr>
                      <a:picLocks noChangeAspect="1"/>
                    </pic:cNvPicPr>
                  </pic:nvPicPr>
                  <pic:blipFill>
                    <a:blip r:embed="rId21"/>
                    <a:srcRect t="5560" b="5560"/>
                    <a:stretch>
                      <a:fillRect/>
                    </a:stretch>
                  </pic:blipFill>
                  <pic:spPr>
                    <a:xfrm>
                      <a:off x="0" y="0"/>
                      <a:ext cx="5316855" cy="3544570"/>
                    </a:xfrm>
                    <a:prstGeom prst="rect">
                      <a:avLst/>
                    </a:prstGeom>
                  </pic:spPr>
                </pic:pic>
              </a:graphicData>
            </a:graphic>
          </wp:inline>
        </w:drawing>
      </w:r>
    </w:p>
    <w:p w14:paraId="66AE9ECC">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 xml:space="preserve"> 地块东部现状（东北-西南）</w:t>
      </w:r>
    </w:p>
    <w:p w14:paraId="4D05C85E">
      <w:pPr>
        <w:keepNext w:val="0"/>
        <w:keepLines w:val="0"/>
        <w:pageBreakBefore w:val="0"/>
        <w:kinsoku/>
        <w:wordWrap/>
        <w:overflowPunct/>
        <w:topLinePunct w:val="0"/>
        <w:autoSpaceDE/>
        <w:autoSpaceDN/>
        <w:bidi w:val="0"/>
        <w:adjustRightInd/>
        <w:snapToGrid/>
        <w:ind w:firstLine="0"/>
        <w:textAlignment w:val="auto"/>
        <w:rPr>
          <w:rFonts w:hint="eastAsia"/>
          <w:color w:val="auto"/>
          <w:lang w:val="zh-CN"/>
        </w:rPr>
      </w:pPr>
      <w:r>
        <w:rPr>
          <w:rFonts w:hint="eastAsia"/>
          <w:color w:val="auto"/>
          <w:lang w:val="zh-CN"/>
        </w:rPr>
        <w:br w:type="page"/>
      </w:r>
    </w:p>
    <w:p w14:paraId="15B65FAE">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p>
    <w:p w14:paraId="1E4AD12A">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r>
        <w:rPr>
          <w:rFonts w:hint="eastAsia"/>
          <w:color w:val="auto"/>
          <w:lang w:val="zh-CN"/>
        </w:rPr>
        <w:drawing>
          <wp:inline distT="0" distB="0" distL="114300" distR="114300">
            <wp:extent cx="5322570" cy="3548380"/>
            <wp:effectExtent l="0" t="0" r="11430" b="13970"/>
            <wp:docPr id="36" name="图片 36" descr="D:/1-小陈/1-上传/87-增城区增江街五星村38.548亩地块/增城区增江街五星村38.548亩地块/15、其他相关资料/调查照片/地貌照/地貌照（东北-西南） (3).jpg地貌照（东北-西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1-小陈/1-上传/87-增城区增江街五星村38.548亩地块/增城区增江街五星村38.548亩地块/15、其他相关资料/调查照片/地貌照/地貌照（东北-西南） (3).jpg地貌照（东北-西南） (3)"/>
                    <pic:cNvPicPr>
                      <a:picLocks noChangeAspect="1"/>
                    </pic:cNvPicPr>
                  </pic:nvPicPr>
                  <pic:blipFill>
                    <a:blip r:embed="rId22"/>
                    <a:srcRect t="5560" b="5560"/>
                    <a:stretch>
                      <a:fillRect/>
                    </a:stretch>
                  </pic:blipFill>
                  <pic:spPr>
                    <a:xfrm>
                      <a:off x="0" y="0"/>
                      <a:ext cx="5322570" cy="3548380"/>
                    </a:xfrm>
                    <a:prstGeom prst="rect">
                      <a:avLst/>
                    </a:prstGeom>
                  </pic:spPr>
                </pic:pic>
              </a:graphicData>
            </a:graphic>
          </wp:inline>
        </w:drawing>
      </w:r>
    </w:p>
    <w:p w14:paraId="5F2293E6">
      <w:pPr>
        <w:keepNext w:val="0"/>
        <w:keepLines w:val="0"/>
        <w:pageBreakBefore w:val="0"/>
        <w:widowControl w:val="0"/>
        <w:kinsoku/>
        <w:wordWrap/>
        <w:overflowPunct/>
        <w:topLinePunct w:val="0"/>
        <w:autoSpaceDE/>
        <w:autoSpaceDN/>
        <w:bidi w:val="0"/>
        <w:adjustRightInd/>
        <w:snapToGrid/>
        <w:spacing w:beforeAutospacing="0" w:line="0" w:lineRule="atLeast"/>
        <w:ind w:firstLine="0"/>
        <w:jc w:val="center"/>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地块东部现状（东北-西南）</w:t>
      </w:r>
    </w:p>
    <w:p w14:paraId="3EA575F3">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eastAsia="zh-CN"/>
        </w:rPr>
      </w:pPr>
    </w:p>
    <w:p w14:paraId="5D57A8F4">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p>
    <w:p w14:paraId="332AC5B2">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color w:val="auto"/>
          <w:lang w:val="zh-CN"/>
        </w:rPr>
      </w:pPr>
      <w:r>
        <w:rPr>
          <w:rFonts w:hint="eastAsia"/>
          <w:color w:val="auto"/>
          <w:lang w:val="zh-CN"/>
        </w:rPr>
        <w:drawing>
          <wp:inline distT="0" distB="0" distL="114300" distR="114300">
            <wp:extent cx="5322570" cy="3548380"/>
            <wp:effectExtent l="0" t="0" r="11430" b="13970"/>
            <wp:docPr id="40" name="图片 40" descr="D:/1-小陈/1-上传/87-增城区增江街五星村38.548亩地块/增城区增江街五星村38.548亩地块/15、其他相关资料/调查照片/地貌照/地貌照（东南-西北） (1).jpg地貌照（东南-西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1-小陈/1-上传/87-增城区增江街五星村38.548亩地块/增城区增江街五星村38.548亩地块/15、其他相关资料/调查照片/地貌照/地貌照（东南-西北） (1).jpg地貌照（东南-西北） (1)"/>
                    <pic:cNvPicPr>
                      <a:picLocks noChangeAspect="1"/>
                    </pic:cNvPicPr>
                  </pic:nvPicPr>
                  <pic:blipFill>
                    <a:blip r:embed="rId23"/>
                    <a:srcRect t="5560" b="5560"/>
                    <a:stretch>
                      <a:fillRect/>
                    </a:stretch>
                  </pic:blipFill>
                  <pic:spPr>
                    <a:xfrm>
                      <a:off x="0" y="0"/>
                      <a:ext cx="5322570" cy="3548380"/>
                    </a:xfrm>
                    <a:prstGeom prst="rect">
                      <a:avLst/>
                    </a:prstGeom>
                  </pic:spPr>
                </pic:pic>
              </a:graphicData>
            </a:graphic>
          </wp:inline>
        </w:drawing>
      </w:r>
    </w:p>
    <w:p w14:paraId="4104E0FA">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地块东部现状（东南-西北）</w:t>
      </w:r>
    </w:p>
    <w:p w14:paraId="1242874E">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br w:type="page"/>
      </w:r>
    </w:p>
    <w:p w14:paraId="3827ACFC">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7B618DA1">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5238115" cy="3491865"/>
            <wp:effectExtent l="0" t="0" r="635" b="13335"/>
            <wp:docPr id="43" name="图片 43" descr="D:/1-小陈/1-上传/87-增城区增江街五星村38.548亩地块/增城区增江街五星村38.548亩地块/15、其他相关资料/调查照片/地貌照/地貌照（东-西） (3).jpg地貌照（东-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1-小陈/1-上传/87-增城区增江街五星村38.548亩地块/增城区增江街五星村38.548亩地块/15、其他相关资料/调查照片/地貌照/地貌照（东-西） (3).jpg地貌照（东-西） (3)"/>
                    <pic:cNvPicPr>
                      <a:picLocks noChangeAspect="1"/>
                    </pic:cNvPicPr>
                  </pic:nvPicPr>
                  <pic:blipFill>
                    <a:blip r:embed="rId24"/>
                    <a:srcRect t="5564" b="5564"/>
                    <a:stretch>
                      <a:fillRect/>
                    </a:stretch>
                  </pic:blipFill>
                  <pic:spPr>
                    <a:xfrm>
                      <a:off x="0" y="0"/>
                      <a:ext cx="5238115" cy="3491865"/>
                    </a:xfrm>
                    <a:prstGeom prst="rect">
                      <a:avLst/>
                    </a:prstGeom>
                  </pic:spPr>
                </pic:pic>
              </a:graphicData>
            </a:graphic>
          </wp:inline>
        </w:drawing>
      </w:r>
    </w:p>
    <w:p w14:paraId="70100DAA">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地块东部现状（东-西）</w:t>
      </w:r>
    </w:p>
    <w:p w14:paraId="5F262109">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1A5579AC">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3F75C081">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5238115" cy="3491865"/>
            <wp:effectExtent l="0" t="0" r="635" b="13335"/>
            <wp:docPr id="44" name="图片 44" descr="D:/1-小陈/1-上传/87-增城区增江街五星村38.548亩地块/增城区增江街五星村38.548亩地块/15、其他相关资料/调查照片/地貌照/地貌照（南-北）.jpg地貌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1-小陈/1-上传/87-增城区增江街五星村38.548亩地块/增城区增江街五星村38.548亩地块/15、其他相关资料/调查照片/地貌照/地貌照（南-北）.jpg地貌照（南-北）"/>
                    <pic:cNvPicPr>
                      <a:picLocks noChangeAspect="1"/>
                    </pic:cNvPicPr>
                  </pic:nvPicPr>
                  <pic:blipFill>
                    <a:blip r:embed="rId25"/>
                    <a:srcRect t="5564" b="5564"/>
                    <a:stretch>
                      <a:fillRect/>
                    </a:stretch>
                  </pic:blipFill>
                  <pic:spPr>
                    <a:xfrm>
                      <a:off x="0" y="0"/>
                      <a:ext cx="5238115" cy="3491865"/>
                    </a:xfrm>
                    <a:prstGeom prst="rect">
                      <a:avLst/>
                    </a:prstGeom>
                  </pic:spPr>
                </pic:pic>
              </a:graphicData>
            </a:graphic>
          </wp:inline>
        </w:drawing>
      </w:r>
    </w:p>
    <w:p w14:paraId="6BDA57DB">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16</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地块东部现状（南-北）</w:t>
      </w:r>
    </w:p>
    <w:p w14:paraId="0BAFE011">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br w:type="page"/>
      </w:r>
    </w:p>
    <w:p w14:paraId="072768B3">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zh-CN"/>
        </w:rPr>
      </w:pPr>
    </w:p>
    <w:p w14:paraId="4352A9C2">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lang w:val="zh-CN"/>
        </w:rPr>
        <w:drawing>
          <wp:inline distT="0" distB="0" distL="114300" distR="114300">
            <wp:extent cx="5238115" cy="3491865"/>
            <wp:effectExtent l="0" t="0" r="635" b="13335"/>
            <wp:docPr id="45" name="图片 45" descr="D:/1-小陈/1-上传/87-增城区增江街五星村38.548亩地块/增城区增江街五星村38.548亩地块/15、其他相关资料/调查照片/地貌照/地貌照（西-东）.jpg地貌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1-小陈/1-上传/87-增城区增江街五星村38.548亩地块/增城区增江街五星村38.548亩地块/15、其他相关资料/调查照片/地貌照/地貌照（西-东）.jpg地貌照（西-东）"/>
                    <pic:cNvPicPr>
                      <a:picLocks noChangeAspect="1"/>
                    </pic:cNvPicPr>
                  </pic:nvPicPr>
                  <pic:blipFill>
                    <a:blip r:embed="rId26"/>
                    <a:srcRect t="5564" b="5564"/>
                    <a:stretch>
                      <a:fillRect/>
                    </a:stretch>
                  </pic:blipFill>
                  <pic:spPr>
                    <a:xfrm>
                      <a:off x="0" y="0"/>
                      <a:ext cx="5238115" cy="3491865"/>
                    </a:xfrm>
                    <a:prstGeom prst="rect">
                      <a:avLst/>
                    </a:prstGeom>
                  </pic:spPr>
                </pic:pic>
              </a:graphicData>
            </a:graphic>
          </wp:inline>
        </w:drawing>
      </w:r>
    </w:p>
    <w:p w14:paraId="4B88BC8C">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17</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color w:val="auto"/>
          <w:sz w:val="21"/>
          <w:szCs w:val="21"/>
          <w:lang w:val="en-US" w:eastAsia="zh-CN"/>
        </w:rPr>
        <w:t>地块东部现状（西-东）</w:t>
      </w:r>
    </w:p>
    <w:p w14:paraId="5681FF37">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en-US" w:eastAsia="zh-CN"/>
        </w:rPr>
      </w:pPr>
    </w:p>
    <w:p w14:paraId="5B824619">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宋体" w:hAnsi="宋体" w:eastAsia="宋体" w:cs="宋体"/>
          <w:color w:val="auto"/>
          <w:sz w:val="24"/>
          <w:szCs w:val="24"/>
          <w:lang w:val="en-US" w:eastAsia="zh-CN"/>
        </w:rPr>
      </w:pPr>
    </w:p>
    <w:p w14:paraId="78338216">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b w:val="0"/>
          <w:bCs w:val="0"/>
          <w:color w:val="auto"/>
          <w:lang w:val="en-US" w:eastAsia="zh-CN"/>
        </w:rPr>
      </w:pPr>
      <w:r>
        <w:rPr>
          <w:rFonts w:hint="eastAsia" w:ascii="黑体" w:hAnsi="黑体" w:eastAsia="黑体" w:cs="黑体"/>
          <w:b w:val="0"/>
          <w:bCs w:val="0"/>
          <w:color w:val="auto"/>
          <w:lang w:val="en-US" w:eastAsia="zh-CN"/>
        </w:rPr>
        <w:drawing>
          <wp:inline distT="0" distB="0" distL="114300" distR="114300">
            <wp:extent cx="3574415" cy="5219700"/>
            <wp:effectExtent l="0" t="0" r="0" b="6985"/>
            <wp:docPr id="5" name="图片 5" descr="现场陶片、石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现场陶片、石锛"/>
                    <pic:cNvPicPr>
                      <a:picLocks noChangeAspect="1"/>
                    </pic:cNvPicPr>
                  </pic:nvPicPr>
                  <pic:blipFill>
                    <a:blip r:embed="rId27"/>
                    <a:srcRect r="10797" b="2527"/>
                    <a:stretch>
                      <a:fillRect/>
                    </a:stretch>
                  </pic:blipFill>
                  <pic:spPr>
                    <a:xfrm rot="16200000">
                      <a:off x="0" y="0"/>
                      <a:ext cx="3574415" cy="5219700"/>
                    </a:xfrm>
                    <a:prstGeom prst="rect">
                      <a:avLst/>
                    </a:prstGeom>
                  </pic:spPr>
                </pic:pic>
              </a:graphicData>
            </a:graphic>
          </wp:inline>
        </w:drawing>
      </w:r>
    </w:p>
    <w:p w14:paraId="3C2A974B">
      <w:pPr>
        <w:keepNext w:val="0"/>
        <w:keepLines w:val="0"/>
        <w:pageBreakBefore w:val="0"/>
        <w:widowControl w:val="0"/>
        <w:kinsoku/>
        <w:wordWrap/>
        <w:overflowPunct/>
        <w:topLinePunct w:val="0"/>
        <w:autoSpaceDE/>
        <w:autoSpaceDN/>
        <w:bidi w:val="0"/>
        <w:adjustRightInd/>
        <w:snapToGrid/>
        <w:spacing w:line="0" w:lineRule="atLeast"/>
        <w:ind w:firstLine="0"/>
        <w:jc w:val="center"/>
        <w:textAlignment w:val="auto"/>
        <w:rPr>
          <w:rFonts w:hint="default" w:ascii="黑体" w:hAnsi="黑体" w:eastAsia="黑体" w:cs="黑体"/>
          <w:b w:val="0"/>
          <w:bCs w:val="0"/>
          <w:color w:val="auto"/>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18</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rPr>
        <w:t xml:space="preserve">  </w:t>
      </w:r>
      <w:r>
        <w:rPr>
          <w:rFonts w:hint="eastAsia" w:ascii="黑体" w:hAnsi="黑体" w:eastAsia="黑体" w:cs="黑体"/>
          <w:b w:val="0"/>
          <w:bCs w:val="0"/>
          <w:color w:val="auto"/>
          <w:lang w:val="en-US" w:eastAsia="zh-CN"/>
        </w:rPr>
        <w:t>调查发现的石斧、陶片</w:t>
      </w:r>
    </w:p>
    <w:p w14:paraId="044982C8">
      <w:pPr>
        <w:keepNext w:val="0"/>
        <w:keepLines w:val="0"/>
        <w:pageBreakBefore w:val="0"/>
        <w:kinsoku/>
        <w:wordWrap/>
        <w:overflowPunct/>
        <w:topLinePunct w:val="0"/>
        <w:autoSpaceDE/>
        <w:autoSpaceDN/>
        <w:bidi w:val="0"/>
        <w:adjustRightInd/>
        <w:snapToGrid/>
        <w:ind w:firstLine="0"/>
        <w:textAlignment w:val="auto"/>
        <w:rPr>
          <w:rFonts w:hint="eastAsia" w:ascii="黑体" w:hAnsi="黑体" w:eastAsia="黑体" w:cs="黑体"/>
          <w:color w:val="auto"/>
          <w:sz w:val="21"/>
          <w:szCs w:val="21"/>
        </w:rPr>
      </w:pPr>
      <w:r>
        <w:rPr>
          <w:rFonts w:hint="eastAsia" w:ascii="黑体" w:hAnsi="黑体" w:eastAsia="黑体" w:cs="黑体"/>
          <w:color w:val="auto"/>
          <w:sz w:val="21"/>
          <w:szCs w:val="21"/>
        </w:rPr>
        <w:br w:type="page"/>
      </w:r>
    </w:p>
    <w:bookmarkEnd w:id="29"/>
    <w:bookmarkEnd w:id="30"/>
    <w:bookmarkEnd w:id="31"/>
    <w:bookmarkEnd w:id="51"/>
    <w:p w14:paraId="31676A85">
      <w:pPr>
        <w:pStyle w:val="2"/>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52" w:name="_Toc32009"/>
      <w:bookmarkStart w:id="53" w:name="_Toc26536"/>
      <w:bookmarkStart w:id="54" w:name="_Toc512756137"/>
      <w:bookmarkStart w:id="55" w:name="_Toc6716"/>
      <w:bookmarkStart w:id="56" w:name="_Toc11180"/>
      <w:bookmarkStart w:id="57" w:name="_Toc5110_WPSOffice_Level2"/>
      <w:r>
        <w:rPr>
          <w:rFonts w:hint="eastAsia" w:eastAsia="宋体"/>
          <w:color w:val="auto"/>
          <w:sz w:val="28"/>
          <w:szCs w:val="28"/>
          <w:lang w:val="zh-CN" w:eastAsia="zh-CN"/>
        </w:rPr>
        <w:t>三、考古勘探</w:t>
      </w:r>
      <w:bookmarkEnd w:id="52"/>
    </w:p>
    <w:p w14:paraId="2C6C29ED">
      <w:pPr>
        <w:pStyle w:val="3"/>
        <w:ind w:firstLine="560" w:firstLineChars="200"/>
        <w:rPr>
          <w:rFonts w:hint="eastAsia"/>
          <w:b w:val="0"/>
          <w:bCs/>
          <w:color w:val="auto"/>
          <w:highlight w:val="none"/>
          <w:lang w:val="en-US" w:eastAsia="zh-CN"/>
        </w:rPr>
      </w:pPr>
      <w:bookmarkStart w:id="58" w:name="_Toc18895_WPSOffice_Level2"/>
      <w:bookmarkStart w:id="59" w:name="_Toc1698546918"/>
      <w:bookmarkStart w:id="60" w:name="_Toc19001"/>
      <w:bookmarkStart w:id="61" w:name="_Toc5488"/>
      <w:bookmarkStart w:id="62" w:name="_Toc14524"/>
      <w:bookmarkStart w:id="63" w:name="_Toc31218"/>
      <w:bookmarkStart w:id="64" w:name="_Toc13951"/>
      <w:bookmarkStart w:id="65" w:name="_Toc10511_WPSOffice_Level2"/>
      <w:bookmarkStart w:id="66" w:name="_Toc977931255"/>
      <w:bookmarkStart w:id="67" w:name="_Toc16452"/>
      <w:bookmarkStart w:id="68" w:name="_Toc30965"/>
      <w:r>
        <w:rPr>
          <w:rFonts w:hint="eastAsia"/>
          <w:b w:val="0"/>
          <w:bCs/>
          <w:color w:val="auto"/>
          <w:highlight w:val="none"/>
          <w:lang w:val="en-US" w:eastAsia="zh-CN"/>
        </w:rPr>
        <w:t>（一）勘探队伍组成</w:t>
      </w:r>
      <w:bookmarkEnd w:id="58"/>
      <w:bookmarkEnd w:id="59"/>
      <w:bookmarkEnd w:id="60"/>
      <w:bookmarkEnd w:id="61"/>
      <w:bookmarkEnd w:id="62"/>
      <w:bookmarkEnd w:id="63"/>
    </w:p>
    <w:p w14:paraId="2CB3FAD6">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本次考古勘探工作由领队、技师、探工、测绘员、资料员等组成。</w:t>
      </w:r>
    </w:p>
    <w:p w14:paraId="1DD3392F">
      <w:pPr>
        <w:pStyle w:val="2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480" w:firstLineChars="200"/>
        <w:textAlignment w:val="auto"/>
        <w:rPr>
          <w:color w:val="auto"/>
        </w:rPr>
      </w:pPr>
      <w:r>
        <w:rPr>
          <w:rFonts w:ascii="宋体" w:hAnsi="宋体" w:eastAsia="宋体" w:cs="宋体"/>
          <w:color w:val="auto"/>
          <w:sz w:val="24"/>
          <w:szCs w:val="24"/>
          <w:lang w:val="en-US" w:eastAsia="en-US" w:bidi="en-US"/>
        </w:rPr>
        <w:t>1.</w:t>
      </w:r>
      <w:r>
        <w:rPr>
          <w:rFonts w:hint="eastAsia"/>
          <w:color w:val="auto"/>
        </w:rPr>
        <w:t>领队，即项目负责人，由</w:t>
      </w:r>
      <w:r>
        <w:rPr>
          <w:rFonts w:hint="eastAsia"/>
          <w:color w:val="auto"/>
          <w:lang w:val="en-US" w:eastAsia="zh-CN"/>
        </w:rPr>
        <w:t>张百祥</w:t>
      </w:r>
      <w:r>
        <w:rPr>
          <w:rFonts w:hint="eastAsia"/>
          <w:color w:val="auto"/>
        </w:rPr>
        <w:t>担任。其职责包括：</w:t>
      </w:r>
    </w:p>
    <w:p w14:paraId="6AB33278">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（1）主持本次考古调查勘探工作，制定工作计划，管理调查勘探队伍，组织和协调与调查勘探相关的各项工作。</w:t>
      </w:r>
    </w:p>
    <w:p w14:paraId="479F29B4">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（2）主持编写考古调查勘探工作报告。</w:t>
      </w:r>
    </w:p>
    <w:p w14:paraId="4814AD3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（3）做好安全预案并及时上报安全事故。</w:t>
      </w:r>
    </w:p>
    <w:p w14:paraId="2B19F45F">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（4）做好现场保护预案并及时上报重要发现。</w:t>
      </w:r>
    </w:p>
    <w:p w14:paraId="12CB9057">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2.安全员，由</w:t>
      </w:r>
      <w:r>
        <w:rPr>
          <w:rFonts w:hint="eastAsia"/>
          <w:color w:val="auto"/>
          <w:lang w:val="en-US" w:eastAsia="zh-CN"/>
        </w:rPr>
        <w:t>杨安长</w:t>
      </w:r>
      <w:r>
        <w:rPr>
          <w:rFonts w:hint="eastAsia"/>
          <w:color w:val="auto"/>
        </w:rPr>
        <w:t xml:space="preserve">担任。其职责包括： </w:t>
      </w:r>
    </w:p>
    <w:p w14:paraId="2038C7A9">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（1）协助项目负责人制订考古勘探工地安全保卫方案、防灾预案及发现重要文化遗存的应急预案。</w:t>
      </w:r>
    </w:p>
    <w:p w14:paraId="2B2F284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（2）落实安全管理及文明作业措施，对考古勘探工人进行思想教育，督促考古勘探工人严格遵守执行相关规定。</w:t>
      </w:r>
    </w:p>
    <w:p w14:paraId="76BFB2E5">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rPr>
      </w:pPr>
      <w:r>
        <w:rPr>
          <w:rFonts w:hint="eastAsia"/>
          <w:color w:val="auto"/>
        </w:rPr>
        <w:t>（3）对考古勘探工地进行安全巡查，及时发现事故隐患，并向项目负责人汇报。</w:t>
      </w:r>
    </w:p>
    <w:p w14:paraId="39586A54">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lang w:val="en-US" w:eastAsia="zh-CN"/>
        </w:rPr>
        <w:t>3</w:t>
      </w:r>
      <w:r>
        <w:rPr>
          <w:rFonts w:hint="eastAsia"/>
          <w:color w:val="auto"/>
        </w:rPr>
        <w:t>.技师</w:t>
      </w:r>
      <w:r>
        <w:rPr>
          <w:rFonts w:hint="eastAsia"/>
          <w:color w:val="auto"/>
          <w:lang w:val="en-US" w:eastAsia="zh-CN"/>
        </w:rPr>
        <w:t>一</w:t>
      </w:r>
      <w:r>
        <w:rPr>
          <w:rFonts w:hint="eastAsia"/>
          <w:color w:val="auto"/>
        </w:rPr>
        <w:t>名，由</w:t>
      </w:r>
      <w:r>
        <w:rPr>
          <w:rFonts w:hint="eastAsia"/>
          <w:color w:val="auto"/>
          <w:lang w:val="en-US" w:eastAsia="zh-CN"/>
        </w:rPr>
        <w:t>田福利</w:t>
      </w:r>
      <w:r>
        <w:rPr>
          <w:rFonts w:hint="eastAsia"/>
          <w:color w:val="auto"/>
        </w:rPr>
        <w:t>担任。其职责包括：</w:t>
      </w:r>
    </w:p>
    <w:p w14:paraId="6D76B831">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（1）负责调查勘探单元内的相关工作。</w:t>
      </w:r>
    </w:p>
    <w:p w14:paraId="1DFD7089">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（2）鉴别土样，研判遗址性质及分布情况。</w:t>
      </w:r>
    </w:p>
    <w:p w14:paraId="52934EBB">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（3）探孔采样和登记。</w:t>
      </w:r>
    </w:p>
    <w:p w14:paraId="7A7555FF">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（4）检查、复核探孔记录和测绘图。</w:t>
      </w:r>
    </w:p>
    <w:p w14:paraId="2DBD49F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rPr>
        <w:t>（5）拍摄调查勘探影像，撰写勘探日记、勘探记录和相关遗迹单元记录。</w:t>
      </w:r>
    </w:p>
    <w:p w14:paraId="76522940">
      <w:pPr>
        <w:pStyle w:val="2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rPr>
      </w:pPr>
      <w:r>
        <w:rPr>
          <w:rFonts w:hint="eastAsia"/>
          <w:color w:val="auto"/>
          <w:lang w:val="en-US" w:eastAsia="zh-CN"/>
        </w:rPr>
        <w:t>4</w:t>
      </w:r>
      <w:r>
        <w:rPr>
          <w:rFonts w:hint="eastAsia"/>
          <w:color w:val="auto"/>
        </w:rPr>
        <w:t>.探工</w:t>
      </w:r>
      <w:r>
        <w:rPr>
          <w:rFonts w:hint="eastAsia"/>
          <w:color w:val="auto"/>
          <w:lang w:val="en-US" w:eastAsia="zh-CN"/>
        </w:rPr>
        <w:t>6</w:t>
      </w:r>
      <w:r>
        <w:rPr>
          <w:rFonts w:hint="eastAsia"/>
          <w:color w:val="auto"/>
        </w:rPr>
        <w:t>名：</w:t>
      </w:r>
      <w:r>
        <w:rPr>
          <w:rFonts w:hint="eastAsia"/>
          <w:color w:val="auto"/>
          <w:lang w:val="en-US" w:eastAsia="zh-CN"/>
        </w:rPr>
        <w:t>梁明光、梁志锋、王国胜、温树权、何孝义、李万科</w:t>
      </w:r>
      <w:r>
        <w:rPr>
          <w:rFonts w:hint="eastAsia"/>
          <w:color w:val="auto"/>
        </w:rPr>
        <w:t>。其职责包括：</w:t>
      </w:r>
    </w:p>
    <w:p w14:paraId="2DDA8226">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（1）负责勘探、取样和提取文物标本。</w:t>
      </w:r>
    </w:p>
    <w:p w14:paraId="3743B7FF">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（2）初步研判土样性质。</w:t>
      </w:r>
    </w:p>
    <w:p w14:paraId="686ECA7F">
      <w:pPr>
        <w:pStyle w:val="25"/>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（3）记录探孔地层堆积情况。</w:t>
      </w:r>
    </w:p>
    <w:p w14:paraId="66B3DECB">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w:t>
      </w:r>
      <w:r>
        <w:rPr>
          <w:rFonts w:hint="eastAsia"/>
          <w:color w:val="auto"/>
          <w:lang w:val="en-US" w:eastAsia="zh-CN"/>
        </w:rPr>
        <w:t>4</w:t>
      </w:r>
      <w:r>
        <w:rPr>
          <w:rFonts w:hint="eastAsia"/>
          <w:color w:val="auto"/>
        </w:rPr>
        <w:t>）</w:t>
      </w:r>
      <w:r>
        <w:rPr>
          <w:rFonts w:hint="eastAsia"/>
          <w:color w:val="auto"/>
          <w:lang w:val="en-US" w:eastAsia="zh-CN"/>
        </w:rPr>
        <w:t>运土、刮面</w:t>
      </w:r>
      <w:r>
        <w:rPr>
          <w:rFonts w:hint="eastAsia"/>
          <w:color w:val="auto"/>
        </w:rPr>
        <w:t>。</w:t>
      </w:r>
    </w:p>
    <w:p w14:paraId="7F32ECB3">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5</w:t>
      </w:r>
      <w:r>
        <w:rPr>
          <w:rFonts w:hint="eastAsia"/>
          <w:color w:val="auto"/>
        </w:rPr>
        <w:t>.测绘员一名，由</w:t>
      </w:r>
      <w:r>
        <w:rPr>
          <w:rFonts w:hint="eastAsia"/>
          <w:color w:val="auto"/>
          <w:lang w:val="en-US" w:eastAsia="zh-CN"/>
        </w:rPr>
        <w:t>杜东凯</w:t>
      </w:r>
      <w:r>
        <w:rPr>
          <w:rFonts w:hint="eastAsia"/>
          <w:color w:val="auto"/>
        </w:rPr>
        <w:t>担任。其职责包括：</w:t>
      </w:r>
    </w:p>
    <w:p w14:paraId="0B5B34B1">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（1）协助领队制定测绘方案。</w:t>
      </w:r>
    </w:p>
    <w:p w14:paraId="58118E82">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（2）设置勘探坐标原点和测绘需要的其他控制点，建立坐标系统。</w:t>
      </w:r>
    </w:p>
    <w:p w14:paraId="76453C99">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rPr>
        <w:t>（3）采集现场数据并绘制平面矢量图。</w:t>
      </w:r>
    </w:p>
    <w:p w14:paraId="28226EA6">
      <w:pPr>
        <w:pStyle w:val="25"/>
        <w:keepNext w:val="0"/>
        <w:keepLines w:val="0"/>
        <w:pageBreakBefore w:val="0"/>
        <w:widowControl/>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6</w:t>
      </w:r>
      <w:r>
        <w:rPr>
          <w:rFonts w:hint="eastAsia"/>
          <w:color w:val="auto"/>
        </w:rPr>
        <w:t>.资料员一名，由</w:t>
      </w:r>
      <w:r>
        <w:rPr>
          <w:rFonts w:hint="eastAsia"/>
          <w:color w:val="auto"/>
          <w:lang w:val="en-US" w:eastAsia="zh-CN"/>
        </w:rPr>
        <w:t>陈生娥</w:t>
      </w:r>
      <w:r>
        <w:rPr>
          <w:rFonts w:hint="eastAsia"/>
          <w:color w:val="auto"/>
        </w:rPr>
        <w:t>担任。其职责包括：</w:t>
      </w:r>
    </w:p>
    <w:p w14:paraId="6F0176C6">
      <w:pPr>
        <w:pStyle w:val="25"/>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（1）协助领队汇总、整理当日现场记录、探孔记录、影像记录和矢量图等，并编号建档。</w:t>
      </w:r>
    </w:p>
    <w:p w14:paraId="51932314">
      <w:pPr>
        <w:pStyle w:val="25"/>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（2）负责登记、保管考古调查勘探过程中发现的文物标本，对文物标本进行统一编号。</w:t>
      </w:r>
    </w:p>
    <w:p w14:paraId="01DCA3B0">
      <w:pPr>
        <w:pStyle w:val="25"/>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rPr>
      </w:pPr>
      <w:r>
        <w:rPr>
          <w:rFonts w:hint="eastAsia"/>
          <w:color w:val="auto"/>
        </w:rPr>
        <w:t>（3）协助编写考古</w:t>
      </w:r>
      <w:r>
        <w:rPr>
          <w:rFonts w:hint="default"/>
          <w:color w:val="auto"/>
        </w:rPr>
        <w:t>调查</w:t>
      </w:r>
      <w:r>
        <w:rPr>
          <w:rFonts w:hint="eastAsia"/>
          <w:color w:val="auto"/>
        </w:rPr>
        <w:t>勘探工作报告。</w:t>
      </w:r>
    </w:p>
    <w:p w14:paraId="102F9712">
      <w:pPr>
        <w:pStyle w:val="3"/>
        <w:ind w:firstLine="560" w:firstLineChars="200"/>
        <w:rPr>
          <w:rFonts w:hint="eastAsia"/>
          <w:b w:val="0"/>
          <w:bCs/>
          <w:color w:val="auto"/>
          <w:highlight w:val="none"/>
          <w:lang w:val="en-US" w:eastAsia="zh-CN"/>
        </w:rPr>
      </w:pPr>
      <w:bookmarkStart w:id="69" w:name="_Toc10943"/>
      <w:r>
        <w:rPr>
          <w:rFonts w:hint="eastAsia"/>
          <w:b w:val="0"/>
          <w:bCs/>
          <w:color w:val="auto"/>
          <w:highlight w:val="none"/>
          <w:lang w:val="en-US" w:eastAsia="zh-CN"/>
        </w:rPr>
        <w:t>（二）工作方法</w:t>
      </w:r>
      <w:bookmarkEnd w:id="64"/>
      <w:bookmarkEnd w:id="65"/>
      <w:bookmarkEnd w:id="66"/>
      <w:bookmarkEnd w:id="67"/>
      <w:bookmarkEnd w:id="68"/>
      <w:bookmarkEnd w:id="69"/>
    </w:p>
    <w:p w14:paraId="61B0FFA8">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lang w:eastAsia="zh-CN"/>
        </w:rPr>
      </w:pPr>
      <w:bookmarkStart w:id="70" w:name="_Toc8557"/>
      <w:bookmarkStart w:id="71" w:name="_Toc26632"/>
      <w:bookmarkStart w:id="72" w:name="_Toc17500"/>
      <w:bookmarkStart w:id="73" w:name="_Toc16068_WPSOffice_Level2"/>
      <w:r>
        <w:rPr>
          <w:rFonts w:hint="eastAsia" w:ascii="宋体" w:hAnsi="宋体" w:eastAsia="宋体" w:cs="宋体"/>
          <w:color w:val="auto"/>
          <w:sz w:val="24"/>
          <w:szCs w:val="24"/>
          <w:lang w:eastAsia="zh-CN"/>
        </w:rPr>
        <w:t>考古勘探工作方法</w:t>
      </w:r>
      <w:r>
        <w:rPr>
          <w:rFonts w:hint="eastAsia" w:ascii="宋体" w:hAnsi="宋体" w:eastAsia="宋体" w:cs="宋体"/>
          <w:color w:val="auto"/>
          <w:sz w:val="24"/>
          <w:szCs w:val="24"/>
        </w:rPr>
        <w:t>严格按照《考古勘探工作规程（试行）》</w:t>
      </w:r>
      <w:r>
        <w:rPr>
          <w:rFonts w:hint="eastAsia" w:ascii="宋体" w:hAnsi="宋体" w:eastAsia="宋体" w:cs="宋体"/>
          <w:color w:val="auto"/>
          <w:sz w:val="24"/>
          <w:szCs w:val="24"/>
          <w:lang w:eastAsia="zh-CN"/>
        </w:rPr>
        <w:t>执行。</w:t>
      </w:r>
    </w:p>
    <w:p w14:paraId="43C3C51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1.定</w:t>
      </w:r>
      <w:r>
        <w:rPr>
          <w:rFonts w:hint="eastAsia" w:ascii="宋体" w:hAnsi="宋体" w:eastAsia="宋体" w:cs="宋体"/>
          <w:color w:val="auto"/>
          <w:sz w:val="24"/>
          <w:szCs w:val="24"/>
        </w:rPr>
        <w:t>点、放样、布孔：测绘员应根据建设单位提供的测绘控制点设置勘探坐标原点，</w:t>
      </w:r>
      <w:r>
        <w:rPr>
          <w:rFonts w:hint="eastAsia" w:ascii="宋体" w:hAnsi="宋体" w:eastAsia="宋体" w:cs="宋体"/>
          <w:color w:val="auto"/>
          <w:sz w:val="24"/>
          <w:szCs w:val="24"/>
          <w:lang w:eastAsia="zh-CN"/>
        </w:rPr>
        <w:t>构建</w:t>
      </w:r>
      <w:r>
        <w:rPr>
          <w:rFonts w:hint="eastAsia" w:ascii="宋体" w:hAnsi="宋体" w:eastAsia="宋体" w:cs="宋体"/>
          <w:color w:val="auto"/>
          <w:sz w:val="24"/>
          <w:szCs w:val="24"/>
        </w:rPr>
        <w:t>测控系统，以保证测绘数据与城乡规划坐标系统相对接。按照勘探坐标原点，使用测绘工具和仪器，标定出勘探</w:t>
      </w:r>
      <w:r>
        <w:rPr>
          <w:rFonts w:hint="eastAsia" w:ascii="宋体" w:hAnsi="宋体" w:eastAsia="宋体" w:cs="宋体"/>
          <w:color w:val="auto"/>
          <w:sz w:val="24"/>
          <w:szCs w:val="24"/>
          <w:lang w:eastAsia="zh-CN"/>
        </w:rPr>
        <w:t>区域</w:t>
      </w:r>
      <w:r>
        <w:rPr>
          <w:rFonts w:hint="eastAsia" w:ascii="宋体" w:hAnsi="宋体" w:eastAsia="宋体" w:cs="宋体"/>
          <w:color w:val="auto"/>
          <w:sz w:val="24"/>
          <w:szCs w:val="24"/>
        </w:rPr>
        <w:t>的边角并</w:t>
      </w:r>
      <w:r>
        <w:rPr>
          <w:rFonts w:hint="eastAsia" w:ascii="宋体" w:hAnsi="宋体" w:eastAsia="宋体" w:cs="宋体"/>
          <w:color w:val="auto"/>
          <w:sz w:val="24"/>
          <w:szCs w:val="24"/>
          <w:lang w:eastAsia="zh-CN"/>
        </w:rPr>
        <w:t>在勘探区域西南角</w:t>
      </w:r>
      <w:r>
        <w:rPr>
          <w:rFonts w:hint="eastAsia" w:ascii="宋体" w:hAnsi="宋体" w:eastAsia="宋体" w:cs="宋体"/>
          <w:color w:val="auto"/>
          <w:sz w:val="24"/>
          <w:szCs w:val="24"/>
        </w:rPr>
        <w:t>设置记号桩。按照拟定的勘探</w:t>
      </w:r>
      <w:r>
        <w:rPr>
          <w:rFonts w:hint="eastAsia" w:ascii="宋体" w:hAnsi="宋体" w:eastAsia="宋体" w:cs="宋体"/>
          <w:color w:val="auto"/>
          <w:sz w:val="24"/>
          <w:szCs w:val="24"/>
          <w:lang w:eastAsia="zh-CN"/>
        </w:rPr>
        <w:t>区域</w:t>
      </w:r>
      <w:r>
        <w:rPr>
          <w:rFonts w:hint="eastAsia" w:ascii="宋体" w:hAnsi="宋体" w:eastAsia="宋体" w:cs="宋体"/>
          <w:color w:val="auto"/>
          <w:sz w:val="24"/>
          <w:szCs w:val="24"/>
        </w:rPr>
        <w:t>、布孔方法和勘探孔距，使用测绘工具和仪器放样标定探孔位置，明确标识出每个待探孔位。</w:t>
      </w:r>
    </w:p>
    <w:p w14:paraId="7CE2981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2.确定布孔方法和勘探孔距：根据地形地势情况采用等距梅花状布孔法，探孔应错列分布。探孔孔距与孔距皆控制在1.5米以内。需要进一步进行调查的重点区域，可适当加密布孔。</w:t>
      </w:r>
    </w:p>
    <w:p w14:paraId="5030F8B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3.普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14:paraId="09EB0C6C">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重点卡探：发现重要遗迹现象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在刮面无法解决平面问题</w:t>
      </w:r>
      <w:r>
        <w:rPr>
          <w:rFonts w:hint="eastAsia" w:ascii="宋体" w:hAnsi="宋体" w:eastAsia="宋体" w:cs="宋体"/>
          <w:color w:val="auto"/>
          <w:sz w:val="24"/>
          <w:szCs w:val="24"/>
        </w:rPr>
        <w:t>时应进行重点卡探，进一步掌握遗迹形制，探明堆积范围、厚度。</w:t>
      </w:r>
      <w:r>
        <w:rPr>
          <w:rFonts w:hint="eastAsia" w:ascii="宋体" w:hAnsi="宋体" w:eastAsia="宋体" w:cs="宋体"/>
          <w:color w:val="auto"/>
          <w:sz w:val="24"/>
          <w:szCs w:val="24"/>
          <w:lang w:val="en-US" w:eastAsia="zh-CN"/>
        </w:rPr>
        <w:t>堆积特征清楚、明确的大型夯土建筑遗迹等，应重点确认夯土遗存，以少量探孔进行穿透式勘探，了解遗迹堆积和叠压状况。古墓葬应探至墓口，重点确定墓葬开口形状，尽量减少探孔数量。</w:t>
      </w:r>
      <w:r>
        <w:rPr>
          <w:rFonts w:hint="eastAsia" w:ascii="宋体" w:hAnsi="宋体" w:eastAsia="宋体" w:cs="宋体"/>
          <w:color w:val="auto"/>
          <w:sz w:val="24"/>
          <w:szCs w:val="24"/>
        </w:rPr>
        <w:t>重要遗迹应布设“十”字</w:t>
      </w:r>
      <w:r>
        <w:rPr>
          <w:rFonts w:hint="eastAsia" w:ascii="宋体" w:hAnsi="宋体" w:eastAsia="宋体" w:cs="宋体"/>
          <w:color w:val="auto"/>
          <w:sz w:val="24"/>
          <w:szCs w:val="24"/>
          <w:lang w:val="en-US" w:eastAsia="zh-CN"/>
        </w:rPr>
        <w:t>形排孔，了解遗迹的纵、横剖面及堆积情况。重点卡探的所有勘探及堆积信息，均应标注在探孔分布图上。</w:t>
      </w:r>
    </w:p>
    <w:p w14:paraId="4B0DFF4E">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bookmarkStart w:id="74" w:name="_Toc1398252294"/>
      <w:r>
        <w:rPr>
          <w:rFonts w:hint="eastAsia" w:ascii="宋体" w:hAnsi="宋体" w:eastAsia="宋体" w:cs="宋体"/>
          <w:color w:val="auto"/>
          <w:sz w:val="24"/>
          <w:szCs w:val="24"/>
          <w:lang w:eastAsia="zh-CN"/>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14:paraId="56DD45BB">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14:paraId="3CBE10BD">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7.遗迹编号：经考古勘探发现、并初步确认的遗迹单位，应以勘探区域为单位进行统一编号。</w:t>
      </w:r>
    </w:p>
    <w:p w14:paraId="3956862F">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14:paraId="1568F81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eastAsia="zh-CN" w:bidi="ar-SA"/>
        </w:rPr>
      </w:pPr>
      <w:r>
        <w:rPr>
          <w:rFonts w:hint="eastAsia" w:ascii="宋体" w:hAnsi="宋体" w:eastAsia="宋体" w:cs="宋体"/>
          <w:color w:val="auto"/>
          <w:kern w:val="2"/>
          <w:sz w:val="24"/>
          <w:szCs w:val="24"/>
          <w:lang w:eastAsia="zh-CN" w:bidi="ar-SA"/>
        </w:rPr>
        <w:t>9.文物标本采集：采集文物标本时，应以探孔为单位，准确记录文物标本被发现时的三维坐标信息，并说明埋藏环境。</w:t>
      </w:r>
    </w:p>
    <w:p w14:paraId="443AB6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bidi="ar-SA"/>
        </w:rPr>
        <w:t>10.</w:t>
      </w:r>
      <w:r>
        <w:rPr>
          <w:rFonts w:hint="eastAsia" w:ascii="宋体" w:hAnsi="宋体" w:eastAsia="宋体" w:cs="宋体"/>
          <w:color w:val="auto"/>
          <w:sz w:val="24"/>
          <w:szCs w:val="24"/>
          <w:lang w:eastAsia="zh-CN"/>
        </w:rPr>
        <w:t>测绘成图：测绘员应及时采集现场数据并绘制相关图纸。</w:t>
      </w:r>
    </w:p>
    <w:p w14:paraId="615C7227">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在既有测绘系统的基础上，利用全站仪或RTK等测绘仪器测量遗迹单位，并绘制平面矢量图。</w:t>
      </w:r>
    </w:p>
    <w:p w14:paraId="00904A38">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测绘控制点坐标应取自遗址三维测绘坐标系统。为保证室内成图质量，应现场绘制草图，可使用勘探单元探孔布设图作为草图的底图。</w:t>
      </w:r>
    </w:p>
    <w:p w14:paraId="6079D055">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每幅测绘图须注明图名、图号、比例、绘图者、审定者、绘图日期、图例、方向等必要说明。</w:t>
      </w:r>
    </w:p>
    <w:p w14:paraId="363E797D">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应根据勘探探孔布设图，绘制遗迹平面分布图、勘探堆积总剖面图。选择勘探总剖面图的剖面位置时，应充分考虑探孔布列，并在剖面图上标注探孔位置。</w:t>
      </w:r>
    </w:p>
    <w:p w14:paraId="588EB5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bidi="ar-SA"/>
        </w:rPr>
        <w:t>11.资料</w:t>
      </w:r>
      <w:r>
        <w:rPr>
          <w:rFonts w:hint="eastAsia" w:ascii="宋体" w:hAnsi="宋体" w:eastAsia="宋体" w:cs="宋体"/>
          <w:color w:val="auto"/>
          <w:sz w:val="24"/>
          <w:szCs w:val="24"/>
          <w:lang w:eastAsia="zh-CN"/>
        </w:rPr>
        <w:t>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14:paraId="094FEA9A">
      <w:pPr>
        <w:pStyle w:val="3"/>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b w:val="0"/>
          <w:bCs/>
          <w:color w:val="auto"/>
          <w:highlight w:val="none"/>
          <w:lang w:val="en-US" w:eastAsia="zh-CN"/>
        </w:rPr>
      </w:pPr>
      <w:bookmarkStart w:id="75" w:name="_Toc31190"/>
      <w:r>
        <w:rPr>
          <w:rFonts w:hint="eastAsia"/>
          <w:b w:val="0"/>
          <w:bCs/>
          <w:color w:val="auto"/>
          <w:highlight w:val="none"/>
          <w:lang w:val="en-US" w:eastAsia="zh-CN"/>
        </w:rPr>
        <w:t>（三）工作步骤</w:t>
      </w:r>
      <w:bookmarkEnd w:id="70"/>
      <w:bookmarkEnd w:id="71"/>
      <w:bookmarkEnd w:id="72"/>
      <w:bookmarkEnd w:id="73"/>
      <w:bookmarkEnd w:id="74"/>
      <w:bookmarkEnd w:id="75"/>
    </w:p>
    <w:p w14:paraId="484561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本次考古勘探工作大致按照普探、</w:t>
      </w:r>
      <w:r>
        <w:rPr>
          <w:rFonts w:hint="eastAsia" w:ascii="宋体" w:hAnsi="宋体" w:eastAsia="宋体" w:cs="宋体"/>
          <w:color w:val="auto"/>
          <w:sz w:val="24"/>
          <w:szCs w:val="24"/>
          <w:lang w:val="en-US" w:eastAsia="zh-CN"/>
        </w:rPr>
        <w:t>探沟</w:t>
      </w:r>
      <w:r>
        <w:rPr>
          <w:rFonts w:hint="eastAsia" w:ascii="宋体" w:hAnsi="宋体" w:eastAsia="宋体" w:cs="宋体"/>
          <w:color w:val="auto"/>
          <w:sz w:val="24"/>
          <w:szCs w:val="24"/>
        </w:rPr>
        <w:t>勘探、</w:t>
      </w:r>
      <w:r>
        <w:rPr>
          <w:rFonts w:hint="eastAsia" w:ascii="宋体" w:hAnsi="宋体" w:eastAsia="宋体" w:cs="宋体"/>
          <w:color w:val="auto"/>
          <w:sz w:val="24"/>
          <w:szCs w:val="24"/>
          <w:lang w:val="en-US" w:eastAsia="zh-CN"/>
        </w:rPr>
        <w:t>遗迹研判、测绘成图、资料汇总、</w:t>
      </w:r>
      <w:r>
        <w:rPr>
          <w:rFonts w:hint="eastAsia" w:ascii="宋体" w:hAnsi="宋体" w:eastAsia="宋体" w:cs="宋体"/>
          <w:color w:val="auto"/>
          <w:sz w:val="24"/>
          <w:szCs w:val="24"/>
        </w:rPr>
        <w:t>形成报告、检查验收等</w:t>
      </w:r>
      <w:r>
        <w:rPr>
          <w:rFonts w:hint="eastAsia" w:ascii="宋体" w:hAnsi="宋体" w:cs="宋体"/>
          <w:color w:val="auto"/>
          <w:sz w:val="24"/>
          <w:szCs w:val="24"/>
          <w:lang w:val="en-US" w:eastAsia="zh-CN"/>
        </w:rPr>
        <w:t>七</w:t>
      </w:r>
      <w:r>
        <w:rPr>
          <w:rFonts w:hint="eastAsia" w:ascii="宋体" w:hAnsi="宋体" w:eastAsia="宋体" w:cs="宋体"/>
          <w:color w:val="auto"/>
          <w:sz w:val="24"/>
          <w:szCs w:val="24"/>
        </w:rPr>
        <w:t>个步骤进行。</w:t>
      </w:r>
    </w:p>
    <w:p w14:paraId="114EDE80">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）普探</w:t>
      </w:r>
    </w:p>
    <w:p w14:paraId="0C4F6916">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由技师带领探工在地块内逐行勘探。本次勘探工作，探孔间距为1.5米，自上而下打孔提取土样，直至生土。由探工仔细记录地层堆积情况，技师鉴别土样、探孔采样和登记。</w:t>
      </w:r>
    </w:p>
    <w:p w14:paraId="6C3CFD32">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）探沟勘探</w:t>
      </w:r>
    </w:p>
    <w:p w14:paraId="23F795E7">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根据该地块的现状特征，本次考古勘探工作采取探孔与探沟相结合方式进行。</w:t>
      </w:r>
    </w:p>
    <w:p w14:paraId="14CF44F7">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工作时遵循以下原则：</w:t>
      </w:r>
    </w:p>
    <w:p w14:paraId="542BF62A">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①平剖面结合，根据土质土色区分堆积，确定早晚关系；</w:t>
      </w:r>
    </w:p>
    <w:p w14:paraId="6011DEB9">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②由晚及早进行清理；</w:t>
      </w:r>
    </w:p>
    <w:p w14:paraId="4EFE86D5">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③按原貌揭露遗迹；</w:t>
      </w:r>
    </w:p>
    <w:p w14:paraId="47EA2B00">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④按单位收集遗物；</w:t>
      </w:r>
    </w:p>
    <w:p w14:paraId="40C48968">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⑤及时、客观、全面做好记录，以了解地下文物埋藏情况。</w:t>
      </w:r>
    </w:p>
    <w:p w14:paraId="4A2BB806">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lang w:val="en-US" w:eastAsia="zh-CN" w:bidi="ar-SA"/>
        </w:rPr>
      </w:pPr>
      <w:r>
        <w:rPr>
          <w:rFonts w:hint="eastAsia" w:ascii="宋体" w:hAnsi="宋体" w:cs="宋体"/>
          <w:color w:val="auto"/>
          <w:kern w:val="2"/>
          <w:sz w:val="24"/>
          <w:szCs w:val="22"/>
          <w:highlight w:val="none"/>
          <w:lang w:val="en-US" w:eastAsia="zh-CN" w:bidi="ar-SA"/>
        </w:rPr>
        <w:t>本次考古勘探工作开挖探沟1条，投入人员4人，耗时1天。</w:t>
      </w:r>
    </w:p>
    <w:p w14:paraId="49D67F18">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（3）遗迹研判</w:t>
      </w:r>
    </w:p>
    <w:p w14:paraId="3E369D95">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由技师根据遗迹形制、土样、提取物性状等，初步分析遗迹类型、性质，现场记录研判结果，并对遗迹进行编号</w:t>
      </w:r>
      <w:r>
        <w:rPr>
          <w:rFonts w:hint="eastAsia" w:ascii="宋体" w:hAnsi="宋体" w:cs="宋体"/>
          <w:color w:val="auto"/>
          <w:kern w:val="2"/>
          <w:sz w:val="24"/>
          <w:szCs w:val="22"/>
          <w:lang w:val="en-US" w:eastAsia="zh-CN" w:bidi="ar-SA"/>
        </w:rPr>
        <w:t>。</w:t>
      </w:r>
    </w:p>
    <w:p w14:paraId="4C75177C">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（4）测绘成图</w:t>
      </w:r>
    </w:p>
    <w:p w14:paraId="4CEF654D">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以建设单位提供的拟建工程图纸，建立与广州市平面坐标系统和高程系统相一致的拟建区域测绘坐标系统。利用高精度全站仪或RTK、GPS等测绘工具对探孔及遗存进行测绘。并绘制探孔、探沟分布图，遗迹平面分布图等图纸。</w:t>
      </w:r>
    </w:p>
    <w:p w14:paraId="1CF9FC69">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color w:val="auto"/>
          <w:kern w:val="2"/>
          <w:sz w:val="24"/>
          <w:szCs w:val="22"/>
          <w:lang w:val="en-US" w:eastAsia="zh-CN" w:bidi="ar-SA"/>
        </w:rPr>
      </w:pPr>
      <w:r>
        <w:rPr>
          <w:rFonts w:hint="eastAsia" w:ascii="宋体" w:hAnsi="宋体" w:cs="宋体"/>
          <w:color w:val="auto"/>
          <w:kern w:val="2"/>
          <w:sz w:val="24"/>
          <w:szCs w:val="22"/>
          <w:lang w:val="en-US" w:eastAsia="zh-CN" w:bidi="ar-SA"/>
        </w:rPr>
        <w:t>（5）资料汇总</w:t>
      </w:r>
    </w:p>
    <w:p w14:paraId="45175AF8">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整理考古探勘记录的资料，包括文字和影像资料。考古勘探记录完全纳入拟建区域测绘坐标系统，以勘探单元为单位，对探孔进行记录，并做好地层堆积描述和遗迹单位的记录。</w:t>
      </w:r>
    </w:p>
    <w:p w14:paraId="66867622">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w:t>
      </w:r>
      <w:r>
        <w:rPr>
          <w:rFonts w:hint="eastAsia" w:ascii="宋体" w:hAnsi="宋体" w:cs="宋体"/>
          <w:color w:val="auto"/>
          <w:kern w:val="2"/>
          <w:sz w:val="24"/>
          <w:szCs w:val="22"/>
          <w:lang w:val="en-US" w:eastAsia="zh-CN" w:bidi="ar-SA"/>
        </w:rPr>
        <w:t>6</w:t>
      </w:r>
      <w:r>
        <w:rPr>
          <w:rFonts w:hint="eastAsia" w:ascii="宋体" w:hAnsi="宋体" w:eastAsia="宋体" w:cs="宋体"/>
          <w:color w:val="auto"/>
          <w:kern w:val="2"/>
          <w:sz w:val="24"/>
          <w:szCs w:val="22"/>
          <w:lang w:val="en-US" w:eastAsia="zh-CN" w:bidi="ar-SA"/>
        </w:rPr>
        <w:t>）形成报告</w:t>
      </w:r>
    </w:p>
    <w:p w14:paraId="69E45920">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left"/>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考古勘探结果明确之后，由勘探领队主持编写考古调查勘探工作报告。若有重要发现，领队在现场部署加强安全保护措施后，应立即上报，由院领导拟定下一步保护措施。</w:t>
      </w:r>
    </w:p>
    <w:p w14:paraId="54E9807E">
      <w:pPr>
        <w:pStyle w:val="7"/>
        <w:keepNext w:val="0"/>
        <w:keepLines w:val="0"/>
        <w:pageBreakBefore w:val="0"/>
        <w:numPr>
          <w:ilvl w:val="0"/>
          <w:numId w:val="0"/>
        </w:numPr>
        <w:tabs>
          <w:tab w:val="left" w:pos="708"/>
        </w:tabs>
        <w:kinsoku/>
        <w:wordWrap/>
        <w:overflowPunct/>
        <w:topLinePunct w:val="0"/>
        <w:autoSpaceDE/>
        <w:autoSpaceDN/>
        <w:bidi w:val="0"/>
        <w:adjustRightInd/>
        <w:snapToGrid/>
        <w:spacing w:after="0" w:line="360" w:lineRule="auto"/>
        <w:ind w:left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检查验收</w:t>
      </w:r>
    </w:p>
    <w:p w14:paraId="7D85DC22">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勘探工作结束后，由我院按照相关规定组织验收。验收时应参照《考古勘探工作规程（试行）》及我院《考古调查勘探项目验收管理办法》执行。</w:t>
      </w:r>
    </w:p>
    <w:p w14:paraId="45148FD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lang w:eastAsia="zh-CN"/>
        </w:rPr>
        <w:t>检查或验收时发现考古勘探工作存在重大质量问题或责任事故的，应现场明确整改意见并立即进行整改。</w:t>
      </w:r>
    </w:p>
    <w:p w14:paraId="58D6470C">
      <w:pPr>
        <w:pStyle w:val="3"/>
        <w:ind w:firstLine="560" w:firstLineChars="200"/>
        <w:rPr>
          <w:rFonts w:hint="default"/>
          <w:b w:val="0"/>
          <w:bCs/>
          <w:color w:val="auto"/>
          <w:highlight w:val="none"/>
          <w:lang w:val="en-US" w:eastAsia="zh-CN"/>
        </w:rPr>
      </w:pPr>
      <w:bookmarkStart w:id="76" w:name="_Toc8157"/>
      <w:r>
        <w:rPr>
          <w:rFonts w:hint="eastAsia"/>
          <w:b w:val="0"/>
          <w:bCs/>
          <w:color w:val="auto"/>
          <w:highlight w:val="none"/>
          <w:lang w:val="en-US" w:eastAsia="zh-CN"/>
        </w:rPr>
        <w:t>（四）</w:t>
      </w:r>
      <w:bookmarkEnd w:id="53"/>
      <w:bookmarkEnd w:id="54"/>
      <w:bookmarkEnd w:id="55"/>
      <w:bookmarkEnd w:id="56"/>
      <w:bookmarkEnd w:id="57"/>
      <w:r>
        <w:rPr>
          <w:rFonts w:hint="eastAsia"/>
          <w:b w:val="0"/>
          <w:bCs/>
          <w:color w:val="auto"/>
          <w:highlight w:val="none"/>
          <w:lang w:val="en-US" w:eastAsia="zh-CN"/>
        </w:rPr>
        <w:t>探孔勘探</w:t>
      </w:r>
      <w:bookmarkEnd w:id="76"/>
    </w:p>
    <w:p w14:paraId="5656A8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Style w:val="31"/>
          <w:rFonts w:hint="eastAsia" w:ascii="宋体" w:hAnsi="宋体" w:eastAsia="宋体" w:cs="宋体"/>
          <w:color w:val="auto"/>
          <w:lang w:val="en-US" w:eastAsia="zh-CN" w:bidi="en-US"/>
        </w:rPr>
      </w:pPr>
      <w:r>
        <w:rPr>
          <w:rFonts w:hint="eastAsia" w:ascii="宋体" w:hAnsi="宋体" w:eastAsia="宋体" w:cs="宋体"/>
          <w:color w:val="auto"/>
          <w:kern w:val="0"/>
          <w:sz w:val="24"/>
          <w:szCs w:val="24"/>
          <w:lang w:val="en-US" w:eastAsia="zh-CN" w:bidi="ar"/>
        </w:rPr>
        <w:t>通过对</w:t>
      </w:r>
      <w:r>
        <w:rPr>
          <w:rFonts w:hint="eastAsia" w:ascii="宋体" w:hAnsi="宋体" w:cs="宋体"/>
          <w:color w:val="auto"/>
          <w:kern w:val="0"/>
          <w:sz w:val="24"/>
          <w:szCs w:val="24"/>
          <w:lang w:val="en-US" w:eastAsia="zh-CN" w:bidi="ar"/>
        </w:rPr>
        <w:t>增城区增江街五星村38.548亩地块</w:t>
      </w:r>
      <w:r>
        <w:rPr>
          <w:rFonts w:hint="eastAsia" w:ascii="宋体" w:hAnsi="宋体" w:eastAsia="宋体" w:cs="宋体"/>
          <w:color w:val="auto"/>
          <w:kern w:val="0"/>
          <w:sz w:val="24"/>
          <w:szCs w:val="24"/>
          <w:lang w:val="en-US" w:eastAsia="zh-CN" w:bidi="ar"/>
        </w:rPr>
        <w:t>的考古调查，我院初步掌握了该地块的基本情况。根据调查结果，结合地块地表现状，经与甲方确认，我院将对</w:t>
      </w:r>
      <w:r>
        <w:rPr>
          <w:rFonts w:hint="eastAsia" w:ascii="宋体" w:hAnsi="宋体" w:cs="宋体"/>
          <w:color w:val="auto"/>
          <w:kern w:val="0"/>
          <w:sz w:val="24"/>
          <w:szCs w:val="24"/>
          <w:lang w:val="en-US" w:eastAsia="zh-CN" w:bidi="ar"/>
        </w:rPr>
        <w:t>该</w:t>
      </w:r>
      <w:r>
        <w:rPr>
          <w:rFonts w:hint="eastAsia" w:ascii="宋体" w:hAnsi="宋体" w:eastAsia="宋体" w:cs="宋体"/>
          <w:color w:val="auto"/>
          <w:kern w:val="0"/>
          <w:sz w:val="24"/>
          <w:szCs w:val="24"/>
          <w:lang w:val="en-US" w:eastAsia="zh-CN" w:bidi="ar"/>
        </w:rPr>
        <w:t>项目</w:t>
      </w:r>
      <w:r>
        <w:rPr>
          <w:rFonts w:hint="eastAsia" w:ascii="宋体" w:hAnsi="宋体" w:cs="宋体"/>
          <w:color w:val="auto"/>
          <w:kern w:val="0"/>
          <w:sz w:val="24"/>
          <w:szCs w:val="24"/>
          <w:lang w:val="en-US" w:eastAsia="zh-CN" w:bidi="ar"/>
        </w:rPr>
        <w:t>地块</w:t>
      </w:r>
      <w:r>
        <w:rPr>
          <w:rFonts w:hint="eastAsia" w:ascii="宋体" w:hAnsi="宋体" w:eastAsia="宋体" w:cs="宋体"/>
          <w:color w:val="auto"/>
          <w:kern w:val="0"/>
          <w:sz w:val="24"/>
          <w:szCs w:val="24"/>
          <w:lang w:val="en-US" w:eastAsia="zh-CN" w:bidi="ar"/>
        </w:rPr>
        <w:t>进行考古勘探工作，勘探面积</w:t>
      </w:r>
      <w:r>
        <w:rPr>
          <w:rFonts w:hint="eastAsia" w:ascii="宋体" w:hAnsi="宋体" w:cs="宋体"/>
          <w:color w:val="auto"/>
          <w:kern w:val="0"/>
          <w:sz w:val="24"/>
          <w:szCs w:val="24"/>
          <w:lang w:val="en-US" w:eastAsia="zh-CN" w:bidi="ar"/>
        </w:rPr>
        <w:t>7700</w:t>
      </w:r>
      <w:r>
        <w:rPr>
          <w:rFonts w:hint="eastAsia" w:ascii="宋体" w:hAnsi="宋体" w:eastAsia="宋体" w:cs="宋体"/>
          <w:color w:val="auto"/>
          <w:kern w:val="0"/>
          <w:sz w:val="24"/>
          <w:szCs w:val="24"/>
          <w:lang w:val="en-US" w:eastAsia="zh-CN" w:bidi="ar"/>
        </w:rPr>
        <w:t>平方米，均为普通勘探。</w:t>
      </w:r>
      <w:r>
        <w:rPr>
          <w:rStyle w:val="31"/>
          <w:rFonts w:hint="eastAsia" w:ascii="宋体" w:hAnsi="宋体" w:cs="宋体"/>
          <w:color w:val="auto"/>
          <w:lang w:val="en-US" w:eastAsia="zh-CN" w:bidi="en-US"/>
        </w:rPr>
        <w:t>我们在</w:t>
      </w:r>
      <w:r>
        <w:rPr>
          <w:rStyle w:val="31"/>
          <w:rFonts w:hint="eastAsia" w:ascii="宋体" w:hAnsi="宋体" w:eastAsia="宋体" w:cs="宋体"/>
          <w:color w:val="auto"/>
          <w:lang w:val="en-US" w:eastAsia="zh-CN" w:bidi="en-US"/>
        </w:rPr>
        <w:t>地块内共布设探孔约</w:t>
      </w:r>
      <w:r>
        <w:rPr>
          <w:rStyle w:val="31"/>
          <w:rFonts w:hint="eastAsia" w:ascii="宋体" w:hAnsi="宋体" w:cs="宋体"/>
          <w:color w:val="auto"/>
          <w:highlight w:val="none"/>
          <w:lang w:val="en-US" w:eastAsia="zh-CN" w:bidi="en-US"/>
        </w:rPr>
        <w:t>6900</w:t>
      </w:r>
      <w:r>
        <w:rPr>
          <w:rStyle w:val="31"/>
          <w:rFonts w:hint="eastAsia" w:ascii="宋体" w:hAnsi="宋体" w:eastAsia="宋体" w:cs="宋体"/>
          <w:color w:val="auto"/>
          <w:lang w:val="en-US" w:eastAsia="zh-CN" w:bidi="en-US"/>
        </w:rPr>
        <w:t>个，本次勘探提取标准探孔</w:t>
      </w:r>
      <w:r>
        <w:rPr>
          <w:rStyle w:val="31"/>
          <w:rFonts w:hint="eastAsia" w:ascii="宋体" w:hAnsi="宋体" w:cs="宋体"/>
          <w:color w:val="auto"/>
          <w:lang w:val="en-US" w:eastAsia="zh-CN" w:bidi="en-US"/>
        </w:rPr>
        <w:t>10</w:t>
      </w:r>
      <w:r>
        <w:rPr>
          <w:rStyle w:val="31"/>
          <w:rFonts w:hint="eastAsia" w:ascii="宋体" w:hAnsi="宋体" w:eastAsia="宋体" w:cs="宋体"/>
          <w:color w:val="auto"/>
          <w:lang w:val="en-US" w:eastAsia="zh-CN" w:bidi="en-US"/>
        </w:rPr>
        <w:t>个，其具体情况如下：</w:t>
      </w:r>
    </w:p>
    <w:p w14:paraId="26DEEE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Style w:val="31"/>
          <w:rFonts w:hint="eastAsia" w:ascii="宋体" w:hAnsi="宋体" w:eastAsia="宋体" w:cs="宋体"/>
          <w:color w:val="auto"/>
          <w:lang w:val="en-US" w:eastAsia="zh-CN" w:bidi="en-US"/>
        </w:rPr>
      </w:pPr>
    </w:p>
    <w:p w14:paraId="1603AED1">
      <w:pPr>
        <w:rPr>
          <w:rStyle w:val="31"/>
          <w:rFonts w:hint="eastAsia" w:ascii="宋体" w:hAnsi="宋体" w:eastAsia="宋体" w:cs="宋体"/>
          <w:color w:val="auto"/>
          <w:lang w:val="en-US" w:eastAsia="zh-CN" w:bidi="en-US"/>
        </w:rPr>
      </w:pPr>
      <w:r>
        <w:rPr>
          <w:rStyle w:val="31"/>
          <w:rFonts w:hint="eastAsia" w:ascii="宋体" w:hAnsi="宋体" w:eastAsia="宋体" w:cs="宋体"/>
          <w:color w:val="auto"/>
          <w:lang w:val="en-US" w:eastAsia="zh-CN" w:bidi="en-US"/>
        </w:rPr>
        <w:br w:type="page"/>
      </w:r>
    </w:p>
    <w:p w14:paraId="0F840C7D">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6F857FBE">
      <w:pPr>
        <w:pStyle w:val="5"/>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drawing>
          <wp:inline distT="0" distB="0" distL="114300" distR="114300">
            <wp:extent cx="5274310" cy="3515995"/>
            <wp:effectExtent l="0" t="0" r="2540" b="8255"/>
            <wp:docPr id="41" name="图片 41" descr="拟勘探面积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拟勘探面积示意图"/>
                    <pic:cNvPicPr>
                      <a:picLocks noChangeAspect="1"/>
                    </pic:cNvPicPr>
                  </pic:nvPicPr>
                  <pic:blipFill>
                    <a:blip r:embed="rId28"/>
                    <a:srcRect t="2745" b="2745"/>
                    <a:stretch>
                      <a:fillRect/>
                    </a:stretch>
                  </pic:blipFill>
                  <pic:spPr>
                    <a:xfrm>
                      <a:off x="0" y="0"/>
                      <a:ext cx="5274310" cy="3516207"/>
                    </a:xfrm>
                    <a:prstGeom prst="rect">
                      <a:avLst/>
                    </a:prstGeom>
                  </pic:spPr>
                </pic:pic>
              </a:graphicData>
            </a:graphic>
          </wp:inline>
        </w:drawing>
      </w:r>
    </w:p>
    <w:p w14:paraId="62326737">
      <w:pPr>
        <w:pStyle w:val="5"/>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cs="黑体"/>
          <w:color w:val="auto"/>
          <w:sz w:val="21"/>
          <w:szCs w:val="21"/>
          <w:highlight w:val="none"/>
          <w:lang w:val="en-US" w:eastAsia="zh-CN"/>
        </w:rPr>
      </w:pPr>
      <w:r>
        <w:rPr>
          <w:rFonts w:hint="eastAsia" w:ascii="黑体" w:hAnsi="黑体" w:cs="黑体"/>
          <w:color w:val="auto"/>
          <w:sz w:val="21"/>
          <w:szCs w:val="21"/>
          <w:highlight w:val="none"/>
          <w:lang w:val="en-US" w:eastAsia="zh-CN"/>
        </w:rPr>
        <w:t xml:space="preserve">图 </w:t>
      </w:r>
      <w:r>
        <w:rPr>
          <w:rFonts w:hint="eastAsia" w:ascii="黑体" w:hAnsi="黑体" w:cs="黑体"/>
          <w:color w:val="auto"/>
          <w:sz w:val="21"/>
          <w:szCs w:val="21"/>
          <w:highlight w:val="none"/>
          <w:lang w:val="en-US" w:eastAsia="zh-CN"/>
        </w:rPr>
        <w:fldChar w:fldCharType="begin"/>
      </w:r>
      <w:r>
        <w:rPr>
          <w:rFonts w:hint="eastAsia" w:ascii="黑体" w:hAnsi="黑体" w:cs="黑体"/>
          <w:color w:val="auto"/>
          <w:sz w:val="21"/>
          <w:szCs w:val="21"/>
          <w:highlight w:val="none"/>
          <w:lang w:val="en-US" w:eastAsia="zh-CN"/>
        </w:rPr>
        <w:instrText xml:space="preserve"> SEQ 图 \* ARABIC </w:instrText>
      </w:r>
      <w:r>
        <w:rPr>
          <w:rFonts w:hint="eastAsia" w:ascii="黑体" w:hAnsi="黑体" w:cs="黑体"/>
          <w:color w:val="auto"/>
          <w:sz w:val="21"/>
          <w:szCs w:val="21"/>
          <w:highlight w:val="none"/>
          <w:lang w:val="en-US" w:eastAsia="zh-CN"/>
        </w:rPr>
        <w:fldChar w:fldCharType="separate"/>
      </w:r>
      <w:r>
        <w:rPr>
          <w:rFonts w:hint="eastAsia" w:ascii="黑体" w:hAnsi="黑体" w:cs="黑体"/>
          <w:color w:val="auto"/>
          <w:sz w:val="21"/>
          <w:szCs w:val="21"/>
          <w:highlight w:val="none"/>
          <w:lang w:val="en-US" w:eastAsia="zh-CN"/>
        </w:rPr>
        <w:t>19</w:t>
      </w:r>
      <w:r>
        <w:rPr>
          <w:rFonts w:hint="eastAsia" w:ascii="黑体" w:hAnsi="黑体" w:cs="黑体"/>
          <w:color w:val="auto"/>
          <w:sz w:val="21"/>
          <w:szCs w:val="21"/>
          <w:highlight w:val="none"/>
          <w:lang w:val="en-US" w:eastAsia="zh-CN"/>
        </w:rPr>
        <w:fldChar w:fldCharType="end"/>
      </w:r>
      <w:r>
        <w:rPr>
          <w:rFonts w:hint="eastAsia" w:ascii="黑体" w:hAnsi="黑体" w:cs="黑体"/>
          <w:color w:val="auto"/>
          <w:sz w:val="21"/>
          <w:szCs w:val="21"/>
          <w:highlight w:val="none"/>
          <w:lang w:val="en-US" w:eastAsia="zh-CN"/>
        </w:rPr>
        <w:t xml:space="preserve">  </w:t>
      </w:r>
      <w:r>
        <w:rPr>
          <w:rFonts w:hint="eastAsia" w:ascii="黑体" w:hAnsi="黑体" w:eastAsia="黑体" w:cs="黑体"/>
          <w:color w:val="auto"/>
          <w:sz w:val="21"/>
          <w:szCs w:val="21"/>
          <w:highlight w:val="none"/>
          <w:lang w:val="en-US" w:eastAsia="zh-CN"/>
        </w:rPr>
        <w:t>项目勘探</w:t>
      </w:r>
      <w:r>
        <w:rPr>
          <w:rFonts w:hint="eastAsia" w:ascii="黑体" w:hAnsi="黑体" w:cs="黑体"/>
          <w:color w:val="auto"/>
          <w:sz w:val="21"/>
          <w:szCs w:val="21"/>
          <w:highlight w:val="none"/>
          <w:lang w:val="en-US" w:eastAsia="zh-CN"/>
        </w:rPr>
        <w:t>范围示意图（蓝色区域）</w:t>
      </w:r>
    </w:p>
    <w:p w14:paraId="0FE8326B">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1A0D9BF2">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45769492">
      <w:pPr>
        <w:pStyle w:val="18"/>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71135" cy="3514090"/>
            <wp:effectExtent l="0" t="0" r="5715" b="10160"/>
            <wp:docPr id="127" name="图片 127" descr="D:/1-小陈/1-上传/87-增城区增江街五星村38.548亩地块                计划书/增城区增江街五星村38.548亩地块/15、其他相关资料/其他/标准孔分布示意图.jpg标准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1-小陈/1-上传/87-增城区增江街五星村38.548亩地块                计划书/增城区增江街五星村38.548亩地块/15、其他相关资料/其他/标准孔分布示意图.jpg标准孔分布示意图"/>
                    <pic:cNvPicPr>
                      <a:picLocks noChangeAspect="1"/>
                    </pic:cNvPicPr>
                  </pic:nvPicPr>
                  <pic:blipFill>
                    <a:blip r:embed="rId29"/>
                    <a:srcRect t="2885" b="2885"/>
                    <a:stretch>
                      <a:fillRect/>
                    </a:stretch>
                  </pic:blipFill>
                  <pic:spPr>
                    <a:xfrm>
                      <a:off x="0" y="0"/>
                      <a:ext cx="5271135" cy="3514090"/>
                    </a:xfrm>
                    <a:prstGeom prst="rect">
                      <a:avLst/>
                    </a:prstGeom>
                  </pic:spPr>
                </pic:pic>
              </a:graphicData>
            </a:graphic>
          </wp:inline>
        </w:drawing>
      </w:r>
    </w:p>
    <w:p w14:paraId="686C4478">
      <w:pPr>
        <w:pStyle w:val="17"/>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 xml:space="preserve">图 </w:t>
      </w:r>
      <w:r>
        <w:rPr>
          <w:rFonts w:hint="eastAsia" w:ascii="黑体" w:hAnsi="黑体" w:eastAsia="黑体" w:cs="黑体"/>
          <w:color w:val="auto"/>
          <w:sz w:val="21"/>
          <w:szCs w:val="21"/>
          <w:highlight w:val="none"/>
          <w:lang w:val="en-US" w:eastAsia="zh-CN"/>
        </w:rPr>
        <w:fldChar w:fldCharType="begin"/>
      </w:r>
      <w:r>
        <w:rPr>
          <w:rFonts w:hint="eastAsia" w:ascii="黑体" w:hAnsi="黑体" w:eastAsia="黑体" w:cs="黑体"/>
          <w:color w:val="auto"/>
          <w:sz w:val="21"/>
          <w:szCs w:val="21"/>
          <w:highlight w:val="none"/>
          <w:lang w:val="en-US" w:eastAsia="zh-CN"/>
        </w:rPr>
        <w:instrText xml:space="preserve"> SEQ 图 \* ARABIC </w:instrText>
      </w:r>
      <w:r>
        <w:rPr>
          <w:rFonts w:hint="eastAsia" w:ascii="黑体" w:hAnsi="黑体" w:eastAsia="黑体" w:cs="黑体"/>
          <w:color w:val="auto"/>
          <w:sz w:val="21"/>
          <w:szCs w:val="21"/>
          <w:highlight w:val="none"/>
          <w:lang w:val="en-US" w:eastAsia="zh-CN"/>
        </w:rPr>
        <w:fldChar w:fldCharType="separate"/>
      </w:r>
      <w:r>
        <w:rPr>
          <w:rFonts w:hint="eastAsia" w:ascii="黑体" w:hAnsi="黑体" w:eastAsia="黑体" w:cs="黑体"/>
          <w:color w:val="auto"/>
          <w:sz w:val="21"/>
          <w:szCs w:val="21"/>
          <w:highlight w:val="none"/>
          <w:lang w:val="en-US" w:eastAsia="zh-CN"/>
        </w:rPr>
        <w:t>20</w:t>
      </w:r>
      <w:r>
        <w:rPr>
          <w:rFonts w:hint="eastAsia"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项目地块内标准孔分布示意图（黄色标记点）</w:t>
      </w:r>
    </w:p>
    <w:p w14:paraId="5681F582">
      <w:pPr>
        <w:rPr>
          <w:rFonts w:hint="default" w:ascii="黑体" w:hAnsi="黑体" w:eastAsia="黑体" w:cs="黑体"/>
          <w:color w:val="auto"/>
          <w:lang w:val="en-US" w:eastAsia="zh-CN"/>
        </w:rPr>
      </w:pPr>
      <w:r>
        <w:rPr>
          <w:rFonts w:hint="default" w:ascii="黑体" w:hAnsi="黑体" w:eastAsia="黑体" w:cs="黑体"/>
          <w:color w:val="auto"/>
          <w:lang w:val="en-US" w:eastAsia="zh-CN"/>
        </w:rPr>
        <w:br w:type="page"/>
      </w:r>
    </w:p>
    <w:p w14:paraId="42BD98B4">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default" w:ascii="黑体" w:hAnsi="黑体" w:eastAsia="黑体" w:cs="黑体"/>
          <w:color w:val="auto"/>
          <w:lang w:val="en-US" w:eastAsia="zh-CN"/>
        </w:rPr>
      </w:pPr>
    </w:p>
    <w:p w14:paraId="4097FC95">
      <w:pPr>
        <w:keepNext w:val="0"/>
        <w:keepLines w:val="0"/>
        <w:pageBreakBefore w:val="0"/>
        <w:widowControl/>
        <w:kinsoku/>
        <w:wordWrap/>
        <w:overflowPunct/>
        <w:topLinePunct w:val="0"/>
        <w:autoSpaceDE/>
        <w:autoSpaceDN/>
        <w:bidi w:val="0"/>
        <w:adjustRightInd/>
        <w:snapToGrid/>
        <w:spacing w:line="0" w:lineRule="atLeast"/>
        <w:ind w:firstLine="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drawing>
          <wp:inline distT="0" distB="0" distL="114300" distR="114300">
            <wp:extent cx="5212080" cy="3474720"/>
            <wp:effectExtent l="0" t="0" r="7620" b="11430"/>
            <wp:docPr id="93" name="图片 93" descr="D:/1-小陈/1-上传/87-增城区增江街五星村38.548亩地块                计划书/增城区增江街五星村38.548亩地块/15、其他相关资料/勘探照片/航拍照/地块区域航拍俯视照（东南-西北）.JPG地块区域航拍俯视照（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1-小陈/1-上传/87-增城区增江街五星村38.548亩地块                计划书/增城区增江街五星村38.548亩地块/15、其他相关资料/勘探照片/航拍照/地块区域航拍俯视照（东南-西北）.JPG地块区域航拍俯视照（东南-西北）"/>
                    <pic:cNvPicPr>
                      <a:picLocks noChangeAspect="1"/>
                    </pic:cNvPicPr>
                  </pic:nvPicPr>
                  <pic:blipFill>
                    <a:blip r:embed="rId30"/>
                    <a:srcRect/>
                    <a:stretch>
                      <a:fillRect/>
                    </a:stretch>
                  </pic:blipFill>
                  <pic:spPr>
                    <a:xfrm>
                      <a:off x="0" y="0"/>
                      <a:ext cx="5212080" cy="3474720"/>
                    </a:xfrm>
                    <a:prstGeom prst="rect">
                      <a:avLst/>
                    </a:prstGeom>
                  </pic:spPr>
                </pic:pic>
              </a:graphicData>
            </a:graphic>
          </wp:inline>
        </w:drawing>
      </w:r>
    </w:p>
    <w:p w14:paraId="1F7BF58C">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highlight w:val="none"/>
          <w:lang w:val="en-US" w:eastAsia="zh-CN"/>
        </w:rPr>
      </w:pPr>
      <w:bookmarkStart w:id="77" w:name="_Toc40519148"/>
      <w:bookmarkStart w:id="78" w:name="_Toc7710_WPSOffice_Level1"/>
      <w:bookmarkStart w:id="79" w:name="_Toc12316"/>
      <w:bookmarkStart w:id="80" w:name="_Toc17669"/>
      <w:bookmarkStart w:id="81" w:name="_Toc465932537"/>
      <w:bookmarkStart w:id="82" w:name="_Toc3660"/>
      <w:r>
        <w:rPr>
          <w:rFonts w:hint="eastAsia" w:ascii="黑体" w:hAnsi="黑体" w:eastAsia="黑体" w:cs="黑体"/>
          <w:color w:val="auto"/>
          <w:sz w:val="21"/>
          <w:szCs w:val="21"/>
          <w:highlight w:val="none"/>
          <w:lang w:val="en-US" w:eastAsia="zh-CN"/>
        </w:rPr>
        <w:t xml:space="preserve">图 </w:t>
      </w:r>
      <w:r>
        <w:rPr>
          <w:rFonts w:hint="eastAsia" w:ascii="黑体" w:hAnsi="黑体" w:eastAsia="黑体" w:cs="黑体"/>
          <w:color w:val="auto"/>
          <w:sz w:val="21"/>
          <w:szCs w:val="21"/>
          <w:highlight w:val="none"/>
          <w:lang w:val="en-US" w:eastAsia="zh-CN"/>
        </w:rPr>
        <w:fldChar w:fldCharType="begin"/>
      </w:r>
      <w:r>
        <w:rPr>
          <w:rFonts w:hint="eastAsia" w:ascii="黑体" w:hAnsi="黑体" w:eastAsia="黑体" w:cs="黑体"/>
          <w:color w:val="auto"/>
          <w:sz w:val="21"/>
          <w:szCs w:val="21"/>
          <w:highlight w:val="none"/>
          <w:lang w:val="en-US" w:eastAsia="zh-CN"/>
        </w:rPr>
        <w:instrText xml:space="preserve"> SEQ 图 \* ARABIC </w:instrText>
      </w:r>
      <w:r>
        <w:rPr>
          <w:rFonts w:hint="eastAsia" w:ascii="黑体" w:hAnsi="黑体" w:eastAsia="黑体" w:cs="黑体"/>
          <w:color w:val="auto"/>
          <w:sz w:val="21"/>
          <w:szCs w:val="21"/>
          <w:highlight w:val="none"/>
          <w:lang w:val="en-US" w:eastAsia="zh-CN"/>
        </w:rPr>
        <w:fldChar w:fldCharType="separate"/>
      </w:r>
      <w:r>
        <w:rPr>
          <w:rFonts w:hint="eastAsia" w:ascii="黑体" w:hAnsi="黑体" w:eastAsia="黑体" w:cs="黑体"/>
          <w:color w:val="auto"/>
          <w:sz w:val="21"/>
          <w:szCs w:val="21"/>
          <w:highlight w:val="none"/>
          <w:lang w:val="en-US" w:eastAsia="zh-CN"/>
        </w:rPr>
        <w:t>21</w:t>
      </w:r>
      <w:r>
        <w:rPr>
          <w:rFonts w:hint="eastAsia" w:ascii="黑体" w:hAnsi="黑体" w:eastAsia="黑体" w:cs="黑体"/>
          <w:color w:val="auto"/>
          <w:sz w:val="21"/>
          <w:szCs w:val="21"/>
          <w:highlight w:val="none"/>
          <w:lang w:val="en-US" w:eastAsia="zh-CN"/>
        </w:rPr>
        <w:fldChar w:fldCharType="end"/>
      </w:r>
      <w:r>
        <w:rPr>
          <w:rFonts w:hint="eastAsia" w:ascii="黑体" w:hAnsi="黑体" w:eastAsia="黑体" w:cs="黑体"/>
          <w:color w:val="auto"/>
          <w:sz w:val="21"/>
          <w:szCs w:val="21"/>
          <w:highlight w:val="none"/>
          <w:lang w:val="en-US" w:eastAsia="zh-CN"/>
        </w:rPr>
        <w:t xml:space="preserve">  勘探区域现状（东南-西北）</w:t>
      </w:r>
    </w:p>
    <w:p w14:paraId="7DCA8B16">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1F01ECF5">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0ECD6D96">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62245" cy="3508375"/>
            <wp:effectExtent l="0" t="0" r="14605" b="15875"/>
            <wp:docPr id="20" name="图片 20" descr="D:/1-小陈/1-上传/87-增城区增江街五星村38.548亩地块                计划书、勘探报告/增城区增江街五星村38.548亩地块/15、其他相关资料/勘探照片/普探工作照/24.普探工作照（南-北）.JPG24.普探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1-小陈/1-上传/87-增城区增江街五星村38.548亩地块                计划书、勘探报告/增城区增江街五星村38.548亩地块/15、其他相关资料/勘探照片/普探工作照/24.普探工作照（南-北）.JPG24.普探工作照（南-北）"/>
                    <pic:cNvPicPr>
                      <a:picLocks noChangeAspect="1"/>
                    </pic:cNvPicPr>
                  </pic:nvPicPr>
                  <pic:blipFill>
                    <a:blip r:embed="rId31"/>
                    <a:srcRect l="9" r="9"/>
                    <a:stretch>
                      <a:fillRect/>
                    </a:stretch>
                  </pic:blipFill>
                  <pic:spPr>
                    <a:xfrm>
                      <a:off x="0" y="0"/>
                      <a:ext cx="5262245" cy="3508375"/>
                    </a:xfrm>
                    <a:prstGeom prst="rect">
                      <a:avLst/>
                    </a:prstGeom>
                    <a:ln>
                      <a:noFill/>
                    </a:ln>
                  </pic:spPr>
                </pic:pic>
              </a:graphicData>
            </a:graphic>
          </wp:inline>
        </w:drawing>
      </w:r>
    </w:p>
    <w:p w14:paraId="795A1F35">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22</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普探工作照（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14:paraId="55CFA870">
      <w:pPr>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72B9FAD6">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25325FA6">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62245" cy="3508375"/>
            <wp:effectExtent l="0" t="0" r="14605" b="15875"/>
            <wp:docPr id="75" name="图片 75" descr="D:/1-小陈/1-上传/87-增城区增江街五星村38.548亩地块                计划书/增城区增江街五星村38.548亩地块/15、其他相关资料/勘探照片/普探工作照/22.普探工作照（西南-东北）.JPG22.普探工作照（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1-小陈/1-上传/87-增城区增江街五星村38.548亩地块                计划书/增城区增江街五星村38.548亩地块/15、其他相关资料/勘探照片/普探工作照/22.普探工作照（西南-东北）.JPG22.普探工作照（西南-东北）"/>
                    <pic:cNvPicPr>
                      <a:picLocks noChangeAspect="1"/>
                    </pic:cNvPicPr>
                  </pic:nvPicPr>
                  <pic:blipFill>
                    <a:blip r:embed="rId32"/>
                    <a:srcRect l="9" r="9"/>
                    <a:stretch>
                      <a:fillRect/>
                    </a:stretch>
                  </pic:blipFill>
                  <pic:spPr>
                    <a:xfrm>
                      <a:off x="0" y="0"/>
                      <a:ext cx="5262245" cy="3508375"/>
                    </a:xfrm>
                    <a:prstGeom prst="rect">
                      <a:avLst/>
                    </a:prstGeom>
                    <a:ln>
                      <a:noFill/>
                    </a:ln>
                  </pic:spPr>
                </pic:pic>
              </a:graphicData>
            </a:graphic>
          </wp:inline>
        </w:drawing>
      </w:r>
    </w:p>
    <w:p w14:paraId="4552AA54">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23</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普探工作照（</w:t>
      </w:r>
      <w:r>
        <w:rPr>
          <w:rFonts w:hint="eastAsia" w:ascii="黑体" w:hAnsi="黑体" w:cs="黑体"/>
          <w:color w:val="auto"/>
          <w:lang w:val="en-US" w:eastAsia="zh-CN"/>
        </w:rPr>
        <w:t>西南-东北</w:t>
      </w:r>
      <w:r>
        <w:rPr>
          <w:rFonts w:hint="eastAsia" w:ascii="黑体" w:hAnsi="黑体" w:eastAsia="黑体" w:cs="黑体"/>
          <w:color w:val="auto"/>
          <w:lang w:val="en-US" w:eastAsia="zh-CN"/>
        </w:rPr>
        <w:t>）</w:t>
      </w:r>
    </w:p>
    <w:p w14:paraId="5C9E5160">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60A35404">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02EEFE64">
      <w:pPr>
        <w:pStyle w:val="1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eastAsia="宋体" w:cs="黑体"/>
          <w:color w:val="auto"/>
          <w:sz w:val="21"/>
          <w:szCs w:val="21"/>
          <w:lang w:eastAsia="zh-CN"/>
        </w:rPr>
      </w:pPr>
      <w:r>
        <w:rPr>
          <w:rFonts w:hint="eastAsia" w:ascii="黑体" w:hAnsi="黑体" w:eastAsia="宋体" w:cs="黑体"/>
          <w:color w:val="auto"/>
          <w:sz w:val="21"/>
          <w:szCs w:val="21"/>
          <w:lang w:eastAsia="zh-CN"/>
        </w:rPr>
        <w:drawing>
          <wp:inline distT="0" distB="0" distL="114300" distR="114300">
            <wp:extent cx="5238115" cy="3491865"/>
            <wp:effectExtent l="0" t="0" r="635" b="13335"/>
            <wp:docPr id="140" name="图片 140" descr="D:/1-小陈/1-上传/87-增城区增江街五星村38.548亩地块                计划书/增城区增江街五星村38.548亩地块/15、其他相关资料/勘探照片/打孔工作照/清表工作照/清障工作照（南-北）.JPG清障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D:/1-小陈/1-上传/87-增城区增江街五星村38.548亩地块                计划书/增城区增江街五星村38.548亩地块/15、其他相关资料/勘探照片/打孔工作照/清表工作照/清障工作照（南-北）.JPG清障工作照（南-北）"/>
                    <pic:cNvPicPr>
                      <a:picLocks noChangeAspect="1"/>
                    </pic:cNvPicPr>
                  </pic:nvPicPr>
                  <pic:blipFill>
                    <a:blip r:embed="rId33"/>
                    <a:srcRect t="6" b="6"/>
                    <a:stretch>
                      <a:fillRect/>
                    </a:stretch>
                  </pic:blipFill>
                  <pic:spPr>
                    <a:xfrm>
                      <a:off x="0" y="0"/>
                      <a:ext cx="5238115" cy="3491865"/>
                    </a:xfrm>
                    <a:prstGeom prst="rect">
                      <a:avLst/>
                    </a:prstGeom>
                    <a:ln>
                      <a:noFill/>
                    </a:ln>
                  </pic:spPr>
                </pic:pic>
              </a:graphicData>
            </a:graphic>
          </wp:inline>
        </w:drawing>
      </w:r>
    </w:p>
    <w:p w14:paraId="6C33D70A">
      <w:pPr>
        <w:pStyle w:val="5"/>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Fonts w:hint="eastAsia" w:ascii="黑体" w:hAnsi="黑体" w:cs="黑体"/>
          <w:color w:val="auto"/>
          <w:szCs w:val="21"/>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24</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w:t>
      </w:r>
      <w:r>
        <w:rPr>
          <w:rFonts w:hint="eastAsia" w:ascii="黑体" w:hAnsi="黑体" w:eastAsia="黑体" w:cs="黑体"/>
          <w:color w:val="auto"/>
          <w:szCs w:val="21"/>
          <w:lang w:eastAsia="zh-CN"/>
        </w:rPr>
        <w:t>标准孔</w:t>
      </w:r>
      <w:r>
        <w:rPr>
          <w:rFonts w:hint="eastAsia" w:ascii="黑体" w:hAnsi="黑体" w:cs="黑体"/>
          <w:color w:val="auto"/>
          <w:szCs w:val="21"/>
          <w:lang w:val="en-US" w:eastAsia="zh-CN"/>
        </w:rPr>
        <w:t>清表</w:t>
      </w:r>
      <w:r>
        <w:rPr>
          <w:rFonts w:hint="eastAsia" w:ascii="黑体" w:hAnsi="黑体" w:eastAsia="黑体" w:cs="黑体"/>
          <w:color w:val="auto"/>
          <w:szCs w:val="21"/>
          <w:lang w:eastAsia="zh-CN"/>
        </w:rPr>
        <w:t>工</w:t>
      </w:r>
      <w:r>
        <w:rPr>
          <w:rFonts w:hint="eastAsia" w:ascii="黑体" w:hAnsi="黑体" w:cs="黑体"/>
          <w:color w:val="auto"/>
          <w:szCs w:val="21"/>
          <w:lang w:eastAsia="zh-CN"/>
        </w:rPr>
        <w:t>作照（</w:t>
      </w:r>
      <w:r>
        <w:rPr>
          <w:rFonts w:hint="eastAsia" w:ascii="黑体" w:hAnsi="黑体" w:cs="黑体"/>
          <w:color w:val="auto"/>
          <w:szCs w:val="21"/>
          <w:lang w:val="en-US" w:eastAsia="zh-CN"/>
        </w:rPr>
        <w:t>南-北</w:t>
      </w:r>
      <w:r>
        <w:rPr>
          <w:rFonts w:hint="eastAsia" w:ascii="黑体" w:hAnsi="黑体" w:cs="黑体"/>
          <w:color w:val="auto"/>
          <w:szCs w:val="21"/>
          <w:lang w:eastAsia="zh-CN"/>
        </w:rPr>
        <w:t>）</w:t>
      </w:r>
    </w:p>
    <w:p w14:paraId="54A0F629">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6CF683F2">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378B2845">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10175" cy="3473450"/>
            <wp:effectExtent l="0" t="0" r="9525" b="12700"/>
            <wp:docPr id="97" name="图片 97" descr="D:/1-小陈/1-上传/87-增城区增江街五星村38.548亩地块                计划书/增城区增江街五星村38.548亩地块/15、其他相关资料/勘探照片/打孔工作照/打孔工作照/探孔工作照（西北-东南）.JPG探孔工作照（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1-小陈/1-上传/87-增城区增江街五星村38.548亩地块                计划书/增城区增江街五星村38.548亩地块/15、其他相关资料/勘探照片/打孔工作照/打孔工作照/探孔工作照（西北-东南）.JPG探孔工作照（西北-东南）"/>
                    <pic:cNvPicPr>
                      <a:picLocks noChangeAspect="1"/>
                    </pic:cNvPicPr>
                  </pic:nvPicPr>
                  <pic:blipFill>
                    <a:blip r:embed="rId34"/>
                    <a:srcRect/>
                    <a:stretch>
                      <a:fillRect/>
                    </a:stretch>
                  </pic:blipFill>
                  <pic:spPr>
                    <a:xfrm>
                      <a:off x="0" y="0"/>
                      <a:ext cx="5210175" cy="3473450"/>
                    </a:xfrm>
                    <a:prstGeom prst="rect">
                      <a:avLst/>
                    </a:prstGeom>
                  </pic:spPr>
                </pic:pic>
              </a:graphicData>
            </a:graphic>
          </wp:inline>
        </w:drawing>
      </w:r>
    </w:p>
    <w:p w14:paraId="2F0EC0FB">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25</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eastAsia="zh-CN"/>
        </w:rPr>
        <w:t xml:space="preserve">  </w:t>
      </w:r>
      <w:r>
        <w:rPr>
          <w:rFonts w:hint="eastAsia" w:ascii="黑体" w:hAnsi="黑体" w:eastAsia="黑体" w:cs="黑体"/>
          <w:color w:val="auto"/>
          <w:sz w:val="21"/>
          <w:szCs w:val="21"/>
          <w:lang w:val="en-US" w:eastAsia="zh-CN"/>
        </w:rPr>
        <w:t>提取标准孔土样工作照（西北-东南）</w:t>
      </w:r>
    </w:p>
    <w:p w14:paraId="650BC2B1">
      <w:pPr>
        <w:pStyle w:val="18"/>
        <w:keepNext w:val="0"/>
        <w:keepLines w:val="0"/>
        <w:pageBreakBefore w:val="0"/>
        <w:widowControl/>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color w:val="auto"/>
          <w:lang w:val="en-US" w:eastAsia="zh-CN"/>
        </w:rPr>
      </w:pPr>
    </w:p>
    <w:p w14:paraId="11EBC3E2">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953A829">
      <w:pPr>
        <w:pStyle w:val="17"/>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eastAsia="zh-CN"/>
        </w:rPr>
      </w:pPr>
      <w:r>
        <w:rPr>
          <w:rFonts w:hint="eastAsia" w:ascii="黑体" w:hAnsi="黑体" w:eastAsia="黑体" w:cs="黑体"/>
          <w:color w:val="auto"/>
          <w:lang w:eastAsia="zh-CN"/>
        </w:rPr>
        <w:drawing>
          <wp:inline distT="0" distB="0" distL="114300" distR="114300">
            <wp:extent cx="5238750" cy="3491865"/>
            <wp:effectExtent l="0" t="0" r="0" b="13335"/>
            <wp:docPr id="141" name="图片 141" descr="D:/1-小陈/1-上传/87-增城区增江街五星村38.548亩地块                计划书/增城区增江街五星村38.548亩地块/15、其他相关资料/勘探照片/打孔工作照/分析土样照/土样分析工作照（西北-东南）.JPG土样分析工作照（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D:/1-小陈/1-上传/87-增城区增江街五星村38.548亩地块                计划书/增城区增江街五星村38.548亩地块/15、其他相关资料/勘探照片/打孔工作照/分析土样照/土样分析工作照（西北-东南）.JPG土样分析工作照（西北-东南）"/>
                    <pic:cNvPicPr>
                      <a:picLocks noChangeAspect="1"/>
                    </pic:cNvPicPr>
                  </pic:nvPicPr>
                  <pic:blipFill>
                    <a:blip r:embed="rId35"/>
                    <a:srcRect t="12" b="12"/>
                    <a:stretch>
                      <a:fillRect/>
                    </a:stretch>
                  </pic:blipFill>
                  <pic:spPr>
                    <a:xfrm>
                      <a:off x="0" y="0"/>
                      <a:ext cx="5238750" cy="3491865"/>
                    </a:xfrm>
                    <a:prstGeom prst="rect">
                      <a:avLst/>
                    </a:prstGeom>
                    <a:ln>
                      <a:noFill/>
                    </a:ln>
                  </pic:spPr>
                </pic:pic>
              </a:graphicData>
            </a:graphic>
          </wp:inline>
        </w:drawing>
      </w:r>
    </w:p>
    <w:p w14:paraId="36C021CD">
      <w:pPr>
        <w:pStyle w:val="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26</w:t>
      </w:r>
      <w:r>
        <w:rPr>
          <w:rFonts w:hint="eastAsia" w:ascii="黑体" w:hAnsi="黑体" w:eastAsia="黑体" w:cs="黑体"/>
          <w:color w:val="auto"/>
        </w:rPr>
        <w:fldChar w:fldCharType="end"/>
      </w:r>
      <w:r>
        <w:rPr>
          <w:rFonts w:hint="eastAsia" w:ascii="黑体" w:hAnsi="黑体" w:eastAsia="黑体" w:cs="黑体"/>
          <w:color w:val="auto"/>
          <w:lang w:eastAsia="zh-CN"/>
        </w:rPr>
        <w:t xml:space="preserve">  </w:t>
      </w:r>
      <w:r>
        <w:rPr>
          <w:rFonts w:hint="eastAsia" w:ascii="黑体" w:hAnsi="黑体" w:eastAsia="黑体" w:cs="黑体"/>
          <w:color w:val="auto"/>
          <w:lang w:val="en-US" w:eastAsia="zh-CN"/>
        </w:rPr>
        <w:t>分析</w:t>
      </w:r>
      <w:r>
        <w:rPr>
          <w:rFonts w:hint="eastAsia" w:ascii="黑体" w:hAnsi="黑体" w:cs="黑体"/>
          <w:color w:val="auto"/>
          <w:lang w:val="en-US" w:eastAsia="zh-CN"/>
        </w:rPr>
        <w:t>标准孔</w:t>
      </w:r>
      <w:r>
        <w:rPr>
          <w:rFonts w:hint="eastAsia" w:ascii="黑体" w:hAnsi="黑体" w:eastAsia="黑体" w:cs="黑体"/>
          <w:color w:val="auto"/>
          <w:lang w:val="en-US" w:eastAsia="zh-CN"/>
        </w:rPr>
        <w:t>土样工作照</w:t>
      </w:r>
      <w:r>
        <w:rPr>
          <w:rFonts w:hint="eastAsia" w:ascii="黑体" w:hAnsi="黑体" w:eastAsia="黑体" w:cs="黑体"/>
          <w:color w:val="auto"/>
          <w:lang w:eastAsia="zh-CN"/>
        </w:rPr>
        <w:t>（</w:t>
      </w:r>
      <w:r>
        <w:rPr>
          <w:rFonts w:hint="eastAsia" w:ascii="黑体" w:hAnsi="黑体" w:cs="黑体"/>
          <w:color w:val="auto"/>
          <w:lang w:val="en-US" w:eastAsia="zh-CN"/>
        </w:rPr>
        <w:t>西北</w:t>
      </w:r>
      <w:r>
        <w:rPr>
          <w:rFonts w:hint="eastAsia" w:ascii="黑体" w:hAnsi="黑体" w:eastAsia="黑体" w:cs="黑体"/>
          <w:color w:val="auto"/>
          <w:lang w:val="en-US" w:eastAsia="zh-CN"/>
        </w:rPr>
        <w:t>-</w:t>
      </w:r>
      <w:r>
        <w:rPr>
          <w:rFonts w:hint="eastAsia" w:ascii="黑体" w:hAnsi="黑体" w:cs="黑体"/>
          <w:color w:val="auto"/>
          <w:lang w:eastAsia="zh-CN"/>
        </w:rPr>
        <w:t>东</w:t>
      </w:r>
      <w:r>
        <w:rPr>
          <w:rFonts w:hint="eastAsia" w:ascii="黑体" w:hAnsi="黑体" w:cs="黑体"/>
          <w:color w:val="auto"/>
          <w:lang w:val="en-US" w:eastAsia="zh-CN"/>
        </w:rPr>
        <w:t>南</w:t>
      </w:r>
      <w:r>
        <w:rPr>
          <w:rFonts w:hint="eastAsia" w:ascii="黑体" w:hAnsi="黑体" w:eastAsia="黑体" w:cs="黑体"/>
          <w:color w:val="auto"/>
          <w:lang w:eastAsia="zh-CN"/>
        </w:rPr>
        <w:t>）</w:t>
      </w:r>
    </w:p>
    <w:p w14:paraId="17A78BD6">
      <w:pPr>
        <w:rPr>
          <w:rFonts w:hint="eastAsia" w:ascii="宋体" w:hAnsi="宋体"/>
          <w:b/>
          <w:bCs/>
          <w:color w:val="auto"/>
          <w:szCs w:val="24"/>
          <w:lang w:eastAsia="zh-CN"/>
        </w:rPr>
      </w:pPr>
      <w:r>
        <w:rPr>
          <w:rFonts w:hint="eastAsia" w:ascii="宋体" w:hAnsi="宋体"/>
          <w:b/>
          <w:bCs/>
          <w:color w:val="auto"/>
          <w:szCs w:val="24"/>
          <w:lang w:eastAsia="zh-CN"/>
        </w:rPr>
        <w:br w:type="page"/>
      </w:r>
    </w:p>
    <w:p w14:paraId="548D5AE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TK1：</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勘探区域北</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w:t>
      </w:r>
      <w:r>
        <w:rPr>
          <w:rFonts w:hint="eastAsia" w:ascii="宋体" w:hAnsi="宋体" w:eastAsia="宋体" w:cs="宋体"/>
          <w:color w:val="auto"/>
          <w:sz w:val="24"/>
          <w:szCs w:val="24"/>
          <w:lang w:val="en-US" w:eastAsia="zh-CN"/>
        </w:rPr>
        <w:t>为（X：2577336.5008，Y：486083.8631），地层堆积情况如下：</w:t>
      </w:r>
    </w:p>
    <w:p w14:paraId="4BA9DE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03BA8E52">
      <w:pPr>
        <w:pStyle w:val="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rPr>
      </w:pPr>
      <w:r>
        <w:rPr>
          <w:rFonts w:hint="eastAsia" w:ascii="黑体" w:hAnsi="黑体" w:eastAsia="黑体" w:cs="黑体"/>
          <w:color w:val="auto"/>
        </w:rPr>
        <w:drawing>
          <wp:inline distT="0" distB="0" distL="114300" distR="114300">
            <wp:extent cx="4316095" cy="2879725"/>
            <wp:effectExtent l="0" t="0" r="8255" b="15875"/>
            <wp:docPr id="103" name="图片 103" descr="D:/1-小陈/1-上传/87-增城区增江街五星村38.548亩地块                计划书/增城区增江街五星村38.548亩地块/15、其他相关资料/勘探照片/土样照/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1-小陈/1-上传/87-增城区增江街五星村38.548亩地块                计划书/增城区增江街五星村38.548亩地块/15、其他相关资料/勘探照片/土样照/TK1.JPGTK1"/>
                    <pic:cNvPicPr>
                      <a:picLocks noChangeAspect="1"/>
                    </pic:cNvPicPr>
                  </pic:nvPicPr>
                  <pic:blipFill>
                    <a:blip r:embed="rId36"/>
                    <a:srcRect l="44" r="44"/>
                    <a:stretch>
                      <a:fillRect/>
                    </a:stretch>
                  </pic:blipFill>
                  <pic:spPr>
                    <a:xfrm>
                      <a:off x="0" y="0"/>
                      <a:ext cx="4316095" cy="2879725"/>
                    </a:xfrm>
                    <a:prstGeom prst="rect">
                      <a:avLst/>
                    </a:prstGeom>
                    <a:ln>
                      <a:noFill/>
                    </a:ln>
                  </pic:spPr>
                </pic:pic>
              </a:graphicData>
            </a:graphic>
          </wp:inline>
        </w:drawing>
      </w:r>
    </w:p>
    <w:p w14:paraId="78F897DE">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27</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w:t>
      </w:r>
      <w:r>
        <w:rPr>
          <w:rFonts w:hint="eastAsia" w:ascii="黑体" w:hAnsi="黑体" w:cs="黑体"/>
          <w:color w:val="auto"/>
          <w:lang w:val="en-US" w:eastAsia="zh-CN"/>
        </w:rPr>
        <w:t>1</w:t>
      </w:r>
      <w:r>
        <w:rPr>
          <w:rFonts w:hint="eastAsia" w:ascii="黑体" w:hAnsi="黑体" w:eastAsia="黑体" w:cs="黑体"/>
          <w:color w:val="auto"/>
          <w:lang w:val="en-US" w:eastAsia="zh-CN"/>
        </w:rPr>
        <w:t>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5593EC8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2</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勘探区域北</w:t>
      </w:r>
      <w:r>
        <w:rPr>
          <w:rFonts w:hint="eastAsia" w:ascii="宋体" w:hAnsi="宋体" w:eastAsia="宋体" w:cs="宋体"/>
          <w:color w:val="auto"/>
          <w:sz w:val="24"/>
          <w:szCs w:val="24"/>
          <w:lang w:val="en-US" w:eastAsia="zh-CN"/>
        </w:rPr>
        <w:t>部，探孔中心</w:t>
      </w:r>
      <w:r>
        <w:rPr>
          <w:rFonts w:hint="eastAsia" w:ascii="宋体" w:hAnsi="宋体" w:eastAsia="宋体" w:cs="宋体"/>
          <w:color w:val="auto"/>
          <w:sz w:val="24"/>
          <w:szCs w:val="24"/>
          <w:highlight w:val="none"/>
          <w:lang w:val="en-US" w:eastAsia="zh-CN"/>
        </w:rPr>
        <w:t>坐标</w:t>
      </w:r>
      <w:r>
        <w:rPr>
          <w:rFonts w:hint="eastAsia" w:ascii="宋体" w:hAnsi="宋体" w:eastAsia="宋体" w:cs="宋体"/>
          <w:color w:val="auto"/>
          <w:sz w:val="24"/>
          <w:szCs w:val="24"/>
          <w:lang w:val="en-US" w:eastAsia="zh-CN"/>
        </w:rPr>
        <w:t>为（X：2577317.2116，Y：486105.4875），地层堆积情况如下：</w:t>
      </w:r>
    </w:p>
    <w:p w14:paraId="53A240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褐色黏土，土质致密、纯净。</w:t>
      </w:r>
    </w:p>
    <w:p w14:paraId="225032A2">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drawing>
          <wp:inline distT="0" distB="0" distL="114300" distR="114300">
            <wp:extent cx="4316095" cy="2879725"/>
            <wp:effectExtent l="0" t="0" r="8255" b="15875"/>
            <wp:docPr id="111" name="图片 111" descr="D:/1-小陈/1-上传/87-增城区增江街五星村38.548亩地块                计划书/增城区增江街五星村38.548亩地块/15、其他相关资料/勘探照片/土样照/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1-小陈/1-上传/87-增城区增江街五星村38.548亩地块                计划书/增城区增江街五星村38.548亩地块/15、其他相关资料/勘探照片/土样照/TK2.JPGTK2"/>
                    <pic:cNvPicPr>
                      <a:picLocks noChangeAspect="1"/>
                    </pic:cNvPicPr>
                  </pic:nvPicPr>
                  <pic:blipFill>
                    <a:blip r:embed="rId37"/>
                    <a:srcRect l="44" r="44"/>
                    <a:stretch>
                      <a:fillRect/>
                    </a:stretch>
                  </pic:blipFill>
                  <pic:spPr>
                    <a:xfrm>
                      <a:off x="0" y="0"/>
                      <a:ext cx="4316095" cy="2879725"/>
                    </a:xfrm>
                    <a:prstGeom prst="rect">
                      <a:avLst/>
                    </a:prstGeom>
                    <a:ln>
                      <a:noFill/>
                    </a:ln>
                  </pic:spPr>
                </pic:pic>
              </a:graphicData>
            </a:graphic>
          </wp:inline>
        </w:drawing>
      </w:r>
    </w:p>
    <w:p w14:paraId="544DF0F0">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28</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TK2土样（标杆长1米，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091FB266">
      <w:pPr>
        <w:rPr>
          <w:rFonts w:hint="eastAsia" w:ascii="黑体"/>
          <w:color w:val="auto"/>
          <w:sz w:val="21"/>
          <w:szCs w:val="21"/>
          <w:lang w:val="en-US" w:eastAsia="zh-CN"/>
        </w:rPr>
      </w:pPr>
      <w:r>
        <w:rPr>
          <w:rFonts w:hint="eastAsia" w:ascii="黑体"/>
          <w:color w:val="auto"/>
          <w:sz w:val="21"/>
          <w:szCs w:val="21"/>
          <w:lang w:val="en-US" w:eastAsia="zh-CN"/>
        </w:rPr>
        <w:br w:type="page"/>
      </w:r>
    </w:p>
    <w:p w14:paraId="5F56F0C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3</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勘探区域东</w:t>
      </w:r>
      <w:r>
        <w:rPr>
          <w:rFonts w:hint="eastAsia" w:ascii="宋体" w:hAnsi="宋体" w:eastAsia="宋体" w:cs="宋体"/>
          <w:color w:val="auto"/>
          <w:sz w:val="24"/>
          <w:szCs w:val="24"/>
          <w:lang w:val="en-US" w:eastAsia="zh-CN"/>
        </w:rPr>
        <w:t>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lang w:val="en-US" w:eastAsia="zh-CN"/>
        </w:rPr>
        <w:t>探孔中心坐标为（X：2577297.0237，Y：486117.3552），地层堆积情况如下：</w:t>
      </w:r>
    </w:p>
    <w:p w14:paraId="074DC7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05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05</w:t>
      </w:r>
      <w:r>
        <w:rPr>
          <w:rFonts w:hint="eastAsia" w:ascii="宋体" w:hAnsi="宋体" w:eastAsia="宋体" w:cs="宋体"/>
          <w:color w:val="auto"/>
          <w:sz w:val="24"/>
          <w:szCs w:val="24"/>
          <w:lang w:val="en-US" w:eastAsia="zh-CN"/>
        </w:rPr>
        <w:t>米，为灰褐色黏土，土质疏松，包含植物根茎。该层下为生土，勘探深至1.0米，黄褐色黏土，土质致密、</w:t>
      </w:r>
      <w:r>
        <w:rPr>
          <w:rFonts w:hint="eastAsia" w:ascii="宋体" w:hAnsi="宋体" w:cs="宋体"/>
          <w:color w:val="auto"/>
          <w:sz w:val="24"/>
          <w:szCs w:val="24"/>
          <w:lang w:val="en-US" w:eastAsia="zh-CN"/>
        </w:rPr>
        <w:t>含风化石</w:t>
      </w:r>
      <w:r>
        <w:rPr>
          <w:rFonts w:hint="eastAsia" w:ascii="宋体" w:hAnsi="宋体" w:eastAsia="宋体" w:cs="宋体"/>
          <w:color w:val="auto"/>
          <w:sz w:val="24"/>
          <w:szCs w:val="24"/>
          <w:lang w:val="en-US" w:eastAsia="zh-CN"/>
        </w:rPr>
        <w:t>。</w:t>
      </w:r>
    </w:p>
    <w:p w14:paraId="63A776B5">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157980" cy="2771775"/>
            <wp:effectExtent l="0" t="0" r="13970" b="9525"/>
            <wp:docPr id="118" name="图片 118" descr="D:/1-小陈/1-上传/87-增城区增江街五星村38.548亩地块                计划书/增城区增江街五星村38.548亩地块/15、其他相关资料/勘探照片/土样照/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1-小陈/1-上传/87-增城区增江街五星村38.548亩地块                计划书/增城区增江街五星村38.548亩地块/15、其他相关资料/勘探照片/土样照/TK3.JPGTK3"/>
                    <pic:cNvPicPr>
                      <a:picLocks noChangeAspect="1"/>
                    </pic:cNvPicPr>
                  </pic:nvPicPr>
                  <pic:blipFill>
                    <a:blip r:embed="rId38"/>
                    <a:srcRect t="7" b="7"/>
                    <a:stretch>
                      <a:fillRect/>
                    </a:stretch>
                  </pic:blipFill>
                  <pic:spPr>
                    <a:xfrm>
                      <a:off x="0" y="0"/>
                      <a:ext cx="4157980" cy="2771775"/>
                    </a:xfrm>
                    <a:prstGeom prst="rect">
                      <a:avLst/>
                    </a:prstGeom>
                  </pic:spPr>
                </pic:pic>
              </a:graphicData>
            </a:graphic>
          </wp:inline>
        </w:drawing>
      </w:r>
    </w:p>
    <w:p w14:paraId="192C1A77">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29</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TK3土样（标杆长1米，</w:t>
      </w:r>
      <w:r>
        <w:rPr>
          <w:rFonts w:hint="eastAsia" w:ascii="黑体" w:hAnsi="黑体" w:eastAsia="黑体" w:cs="黑体"/>
          <w:color w:val="auto"/>
          <w:sz w:val="21"/>
          <w:szCs w:val="21"/>
          <w:lang w:val="en-US" w:eastAsia="zh-CN"/>
        </w:rPr>
        <w:t>土样由左到右</w:t>
      </w:r>
      <w:r>
        <w:rPr>
          <w:rFonts w:hint="eastAsia" w:ascii="黑体" w:hAnsi="黑体" w:eastAsia="黑体" w:cs="黑体"/>
          <w:color w:val="auto"/>
          <w:lang w:val="en-US" w:eastAsia="zh-CN"/>
        </w:rPr>
        <w:t>）</w:t>
      </w:r>
    </w:p>
    <w:p w14:paraId="2B5C327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4</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勘探区域北</w:t>
      </w:r>
      <w:r>
        <w:rPr>
          <w:rFonts w:hint="eastAsia" w:ascii="宋体" w:hAnsi="宋体" w:eastAsia="宋体" w:cs="宋体"/>
          <w:color w:val="auto"/>
          <w:sz w:val="24"/>
          <w:szCs w:val="24"/>
          <w:lang w:val="en-US" w:eastAsia="zh-CN"/>
        </w:rPr>
        <w:t>部，探孔中心坐标为（X：2577288.340</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，Y：486099.3229），地层堆积情况如下：</w:t>
      </w:r>
    </w:p>
    <w:p w14:paraId="7C4894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米，为灰褐色黏土，土质疏松，包含植物根茎。该层下为生土，勘探深至1.0米，黄褐色黏土，土质致密、</w:t>
      </w:r>
      <w:r>
        <w:rPr>
          <w:rFonts w:hint="eastAsia" w:ascii="宋体" w:hAnsi="宋体" w:cs="宋体"/>
          <w:color w:val="auto"/>
          <w:sz w:val="24"/>
          <w:szCs w:val="24"/>
          <w:lang w:val="en-US" w:eastAsia="zh-CN"/>
        </w:rPr>
        <w:t>含风化石。</w:t>
      </w:r>
    </w:p>
    <w:p w14:paraId="6027B475">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104640" cy="2736215"/>
            <wp:effectExtent l="0" t="0" r="10160" b="6985"/>
            <wp:docPr id="117" name="图片 117" descr="D:/1-小陈/1-上传/87-增城区增江街五星村38.548亩地块                计划书/增城区增江街五星村38.548亩地块/15、其他相关资料/勘探照片/土样照/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D:/1-小陈/1-上传/87-增城区增江街五星村38.548亩地块                计划书/增城区增江街五星村38.548亩地块/15、其他相关资料/勘探照片/土样照/TK4.JPGTK4"/>
                    <pic:cNvPicPr>
                      <a:picLocks noChangeAspect="1"/>
                    </pic:cNvPicPr>
                  </pic:nvPicPr>
                  <pic:blipFill>
                    <a:blip r:embed="rId39"/>
                    <a:srcRect t="7" b="7"/>
                    <a:stretch>
                      <a:fillRect/>
                    </a:stretch>
                  </pic:blipFill>
                  <pic:spPr>
                    <a:xfrm>
                      <a:off x="0" y="0"/>
                      <a:ext cx="4104640" cy="2736215"/>
                    </a:xfrm>
                    <a:prstGeom prst="rect">
                      <a:avLst/>
                    </a:prstGeom>
                  </pic:spPr>
                </pic:pic>
              </a:graphicData>
            </a:graphic>
          </wp:inline>
        </w:drawing>
      </w:r>
    </w:p>
    <w:p w14:paraId="16A74BC1">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30</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TK4土样（标杆长1米，土样由左到右）</w:t>
      </w:r>
    </w:p>
    <w:p w14:paraId="4E43D1A4">
      <w:pPr>
        <w:rPr>
          <w:rFonts w:hint="eastAsia" w:ascii="宋体" w:hAnsi="宋体"/>
          <w:b/>
          <w:bCs/>
          <w:color w:val="auto"/>
          <w:sz w:val="24"/>
          <w:szCs w:val="24"/>
        </w:rPr>
      </w:pPr>
      <w:r>
        <w:rPr>
          <w:rFonts w:hint="eastAsia" w:ascii="宋体" w:hAnsi="宋体"/>
          <w:b/>
          <w:bCs/>
          <w:color w:val="auto"/>
          <w:sz w:val="24"/>
          <w:szCs w:val="24"/>
        </w:rPr>
        <w:br w:type="page"/>
      </w:r>
    </w:p>
    <w:p w14:paraId="027207E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5</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勘探区域西</w:t>
      </w:r>
      <w:r>
        <w:rPr>
          <w:rFonts w:hint="eastAsia" w:ascii="宋体" w:hAnsi="宋体" w:eastAsia="宋体" w:cs="宋体"/>
          <w:color w:val="auto"/>
          <w:sz w:val="24"/>
          <w:szCs w:val="24"/>
          <w:lang w:val="en-US" w:eastAsia="zh-CN"/>
        </w:rPr>
        <w:t>部，探孔中心坐标为（X：2577266.9743，Y：486078.7077），地层堆积情况如下：</w:t>
      </w:r>
    </w:p>
    <w:p w14:paraId="48E5A36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米，为灰褐色黏土，土质疏松，包含植物根茎。该层下为生土，勘探深至1.0米，黄褐色黏土，土质致密、纯净。</w:t>
      </w:r>
    </w:p>
    <w:p w14:paraId="7A8F4862">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116" name="图片 116" descr="D:/1-小陈/1-上传/87-增城区增江街五星村38.548亩地块                计划书/增城区增江街五星村38.548亩地块/15、其他相关资料/勘探照片/土样照/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D:/1-小陈/1-上传/87-增城区增江街五星村38.548亩地块                计划书/增城区增江街五星村38.548亩地块/15、其他相关资料/勘探照片/土样照/TK5.JPGTK5"/>
                    <pic:cNvPicPr>
                      <a:picLocks noChangeAspect="1"/>
                    </pic:cNvPicPr>
                  </pic:nvPicPr>
                  <pic:blipFill>
                    <a:blip r:embed="rId40"/>
                    <a:srcRect t="7" b="7"/>
                    <a:stretch>
                      <a:fillRect/>
                    </a:stretch>
                  </pic:blipFill>
                  <pic:spPr>
                    <a:xfrm>
                      <a:off x="0" y="0"/>
                      <a:ext cx="4319905" cy="2879725"/>
                    </a:xfrm>
                    <a:prstGeom prst="rect">
                      <a:avLst/>
                    </a:prstGeom>
                  </pic:spPr>
                </pic:pic>
              </a:graphicData>
            </a:graphic>
          </wp:inline>
        </w:drawing>
      </w:r>
    </w:p>
    <w:p w14:paraId="530DB132">
      <w:pPr>
        <w:pStyle w:val="5"/>
        <w:snapToGrid w:val="0"/>
        <w:jc w:val="center"/>
        <w:rPr>
          <w:rFonts w:hint="eastAsia" w:ascii="宋体" w:hAnsi="宋体"/>
          <w:b/>
          <w:bCs/>
          <w:color w:val="auto"/>
          <w:sz w:val="21"/>
          <w:szCs w:val="21"/>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31</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TK5土样（标杆长1米，土样由左到右）</w:t>
      </w:r>
    </w:p>
    <w:p w14:paraId="6D97499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6</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勘探区域西南</w:t>
      </w:r>
      <w:r>
        <w:rPr>
          <w:rFonts w:hint="eastAsia" w:ascii="宋体" w:hAnsi="宋体" w:eastAsia="宋体" w:cs="宋体"/>
          <w:color w:val="auto"/>
          <w:sz w:val="24"/>
          <w:szCs w:val="24"/>
          <w:lang w:val="en-US" w:eastAsia="zh-CN"/>
        </w:rPr>
        <w:t>部，探孔中心坐标为（X：2577233.4869，Y：486099.0553），地层堆积情况如下：</w:t>
      </w:r>
    </w:p>
    <w:p w14:paraId="0EC448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红</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0EE3FC69">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115" name="图片 115" descr="D:/1-小陈/1-上传/87-增城区增江街五星村38.548亩地块                计划书/增城区增江街五星村38.548亩地块/15、其他相关资料/勘探照片/土样照/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D:/1-小陈/1-上传/87-增城区增江街五星村38.548亩地块                计划书/增城区增江街五星村38.548亩地块/15、其他相关资料/勘探照片/土样照/TK6.JPGTK6"/>
                    <pic:cNvPicPr>
                      <a:picLocks noChangeAspect="1"/>
                    </pic:cNvPicPr>
                  </pic:nvPicPr>
                  <pic:blipFill>
                    <a:blip r:embed="rId41"/>
                    <a:srcRect t="7" b="7"/>
                    <a:stretch>
                      <a:fillRect/>
                    </a:stretch>
                  </pic:blipFill>
                  <pic:spPr>
                    <a:xfrm>
                      <a:off x="0" y="0"/>
                      <a:ext cx="4319905" cy="2879725"/>
                    </a:xfrm>
                    <a:prstGeom prst="rect">
                      <a:avLst/>
                    </a:prstGeom>
                  </pic:spPr>
                </pic:pic>
              </a:graphicData>
            </a:graphic>
          </wp:inline>
        </w:drawing>
      </w:r>
    </w:p>
    <w:p w14:paraId="10AB6451">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32</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TK6土样（标杆长1米，土样由左到右）</w:t>
      </w:r>
    </w:p>
    <w:p w14:paraId="18BD322A">
      <w:pPr>
        <w:rPr>
          <w:rFonts w:hint="eastAsia" w:ascii="黑体"/>
          <w:color w:val="auto"/>
          <w:sz w:val="21"/>
          <w:szCs w:val="21"/>
          <w:lang w:val="en-US" w:eastAsia="zh-CN"/>
        </w:rPr>
      </w:pPr>
      <w:r>
        <w:rPr>
          <w:rFonts w:hint="eastAsia" w:ascii="黑体"/>
          <w:color w:val="auto"/>
          <w:sz w:val="21"/>
          <w:szCs w:val="21"/>
          <w:lang w:val="en-US" w:eastAsia="zh-CN"/>
        </w:rPr>
        <w:br w:type="page"/>
      </w:r>
    </w:p>
    <w:p w14:paraId="7C53316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7</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勘探区域中</w:t>
      </w:r>
      <w:r>
        <w:rPr>
          <w:rFonts w:hint="eastAsia" w:ascii="宋体" w:hAnsi="宋体" w:eastAsia="宋体" w:cs="宋体"/>
          <w:color w:val="auto"/>
          <w:sz w:val="24"/>
          <w:szCs w:val="24"/>
          <w:lang w:val="en-US" w:eastAsia="zh-CN"/>
        </w:rPr>
        <w:t>部，探孔中心坐标为（X：2577264.4795，Y：486112.9716），地层堆积情况如下：</w:t>
      </w:r>
    </w:p>
    <w:p w14:paraId="2E1150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1A48D417">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050030" cy="2700020"/>
            <wp:effectExtent l="0" t="0" r="7620" b="5080"/>
            <wp:docPr id="114" name="图片 114" descr="D:/1-小陈/1-上传/87-增城区增江街五星村38.548亩地块                计划书/增城区增江街五星村38.548亩地块/15、其他相关资料/勘探照片/土样照/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D:/1-小陈/1-上传/87-增城区增江街五星村38.548亩地块                计划书/增城区增江街五星村38.548亩地块/15、其他相关资料/勘探照片/土样照/TK7.JPGTK7"/>
                    <pic:cNvPicPr>
                      <a:picLocks noChangeAspect="1"/>
                    </pic:cNvPicPr>
                  </pic:nvPicPr>
                  <pic:blipFill>
                    <a:blip r:embed="rId42"/>
                    <a:srcRect t="8" b="8"/>
                    <a:stretch>
                      <a:fillRect/>
                    </a:stretch>
                  </pic:blipFill>
                  <pic:spPr>
                    <a:xfrm>
                      <a:off x="0" y="0"/>
                      <a:ext cx="4050030" cy="2700020"/>
                    </a:xfrm>
                    <a:prstGeom prst="rect">
                      <a:avLst/>
                    </a:prstGeom>
                  </pic:spPr>
                </pic:pic>
              </a:graphicData>
            </a:graphic>
          </wp:inline>
        </w:drawing>
      </w:r>
    </w:p>
    <w:p w14:paraId="78FA5611">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33</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TK7土样（标杆长1米，土样由左到右）</w:t>
      </w:r>
    </w:p>
    <w:p w14:paraId="7B74678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8</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勘探区域南</w:t>
      </w:r>
      <w:r>
        <w:rPr>
          <w:rFonts w:hint="eastAsia" w:ascii="宋体" w:hAnsi="宋体" w:eastAsia="宋体" w:cs="宋体"/>
          <w:color w:val="auto"/>
          <w:sz w:val="24"/>
          <w:szCs w:val="24"/>
          <w:lang w:val="en-US" w:eastAsia="zh-CN"/>
        </w:rPr>
        <w:t>部，探孔中心坐标为（X：</w:t>
      </w:r>
      <w:r>
        <w:rPr>
          <w:rFonts w:hint="eastAsia" w:ascii="宋体" w:hAnsi="宋体" w:cs="宋体"/>
          <w:color w:val="auto"/>
          <w:sz w:val="24"/>
          <w:szCs w:val="24"/>
          <w:lang w:val="en-US" w:eastAsia="zh-CN"/>
        </w:rPr>
        <w:t>2577253.1296</w:t>
      </w:r>
      <w:r>
        <w:rPr>
          <w:rFonts w:hint="eastAsia" w:ascii="宋体" w:hAnsi="宋体" w:eastAsia="宋体" w:cs="宋体"/>
          <w:color w:val="auto"/>
          <w:sz w:val="24"/>
          <w:szCs w:val="24"/>
          <w:lang w:val="en-US" w:eastAsia="zh-CN"/>
        </w:rPr>
        <w:t>，Y：</w:t>
      </w:r>
      <w:r>
        <w:rPr>
          <w:rFonts w:hint="eastAsia" w:ascii="宋体" w:hAnsi="宋体" w:cs="宋体"/>
          <w:color w:val="auto"/>
          <w:sz w:val="24"/>
          <w:szCs w:val="24"/>
          <w:lang w:val="en-US" w:eastAsia="zh-CN"/>
        </w:rPr>
        <w:t>486135.4336</w:t>
      </w:r>
      <w:r>
        <w:rPr>
          <w:rFonts w:hint="eastAsia" w:ascii="宋体" w:hAnsi="宋体" w:eastAsia="宋体" w:cs="宋体"/>
          <w:color w:val="auto"/>
          <w:sz w:val="24"/>
          <w:szCs w:val="24"/>
          <w:lang w:val="en-US" w:eastAsia="zh-CN"/>
        </w:rPr>
        <w:t>），地层堆积情况如下：</w:t>
      </w:r>
    </w:p>
    <w:p w14:paraId="469BC5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15</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15</w:t>
      </w:r>
      <w:r>
        <w:rPr>
          <w:rFonts w:hint="eastAsia" w:ascii="宋体" w:hAnsi="宋体" w:eastAsia="宋体" w:cs="宋体"/>
          <w:color w:val="auto"/>
          <w:sz w:val="24"/>
          <w:szCs w:val="24"/>
          <w:lang w:val="en-US" w:eastAsia="zh-CN"/>
        </w:rPr>
        <w:t>米，为灰褐色黏土，土质疏松，包含植物根茎。该层下为生土，勘探深至1.0米，黄褐色黏土，土质致密、</w:t>
      </w:r>
      <w:r>
        <w:rPr>
          <w:rFonts w:hint="eastAsia" w:ascii="宋体" w:hAnsi="宋体" w:cs="宋体"/>
          <w:color w:val="auto"/>
          <w:sz w:val="24"/>
          <w:szCs w:val="24"/>
          <w:lang w:val="en-US" w:eastAsia="zh-CN"/>
        </w:rPr>
        <w:t>纯净</w:t>
      </w:r>
      <w:r>
        <w:rPr>
          <w:rFonts w:hint="eastAsia" w:ascii="宋体" w:hAnsi="宋体" w:eastAsia="宋体" w:cs="宋体"/>
          <w:color w:val="auto"/>
          <w:sz w:val="24"/>
          <w:szCs w:val="24"/>
          <w:lang w:val="en-US" w:eastAsia="zh-CN"/>
        </w:rPr>
        <w:t>。</w:t>
      </w:r>
    </w:p>
    <w:p w14:paraId="513C7156">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050030" cy="2700020"/>
            <wp:effectExtent l="0" t="0" r="7620" b="5080"/>
            <wp:docPr id="113" name="图片 113" descr="D:/1-小陈/1-上传/87-增城区增江街五星村38.548亩地块                计划书/增城区增江街五星村38.548亩地块/15、其他相关资料/勘探照片/土样照/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D:/1-小陈/1-上传/87-增城区增江街五星村38.548亩地块                计划书/增城区增江街五星村38.548亩地块/15、其他相关资料/勘探照片/土样照/TK8.JPGTK8"/>
                    <pic:cNvPicPr>
                      <a:picLocks noChangeAspect="1"/>
                    </pic:cNvPicPr>
                  </pic:nvPicPr>
                  <pic:blipFill>
                    <a:blip r:embed="rId43"/>
                    <a:srcRect t="8" b="8"/>
                    <a:stretch>
                      <a:fillRect/>
                    </a:stretch>
                  </pic:blipFill>
                  <pic:spPr>
                    <a:xfrm>
                      <a:off x="0" y="0"/>
                      <a:ext cx="4050030" cy="2700020"/>
                    </a:xfrm>
                    <a:prstGeom prst="rect">
                      <a:avLst/>
                    </a:prstGeom>
                  </pic:spPr>
                </pic:pic>
              </a:graphicData>
            </a:graphic>
          </wp:inline>
        </w:drawing>
      </w:r>
    </w:p>
    <w:p w14:paraId="4C4F0E88">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34</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TK8土样（标杆长1米，土样由左到右）</w:t>
      </w:r>
    </w:p>
    <w:p w14:paraId="105C032A">
      <w:pPr>
        <w:rPr>
          <w:rFonts w:hint="eastAsia" w:ascii="黑体"/>
          <w:color w:val="auto"/>
          <w:sz w:val="21"/>
          <w:szCs w:val="21"/>
          <w:lang w:val="en-US" w:eastAsia="zh-CN"/>
        </w:rPr>
      </w:pPr>
      <w:r>
        <w:rPr>
          <w:rFonts w:hint="eastAsia" w:ascii="黑体"/>
          <w:color w:val="auto"/>
          <w:sz w:val="21"/>
          <w:szCs w:val="21"/>
          <w:lang w:val="en-US" w:eastAsia="zh-CN"/>
        </w:rPr>
        <w:br w:type="page"/>
      </w:r>
    </w:p>
    <w:p w14:paraId="5C177A0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b/>
          <w:bCs/>
          <w:color w:val="auto"/>
          <w:sz w:val="24"/>
          <w:szCs w:val="24"/>
        </w:rPr>
        <w:t>TK</w:t>
      </w:r>
      <w:r>
        <w:rPr>
          <w:rFonts w:hint="eastAsia" w:ascii="宋体" w:hAnsi="宋体"/>
          <w:b/>
          <w:bCs/>
          <w:color w:val="auto"/>
          <w:sz w:val="24"/>
          <w:szCs w:val="24"/>
          <w:lang w:val="en-US" w:eastAsia="zh-CN"/>
        </w:rPr>
        <w:t>9</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勘探区域东</w:t>
      </w:r>
      <w:r>
        <w:rPr>
          <w:rFonts w:hint="eastAsia" w:ascii="宋体" w:hAnsi="宋体" w:eastAsia="宋体" w:cs="宋体"/>
          <w:color w:val="auto"/>
          <w:sz w:val="24"/>
          <w:szCs w:val="24"/>
          <w:lang w:val="en-US" w:eastAsia="zh-CN"/>
        </w:rPr>
        <w:t>部，探孔中心坐标为（X：2577288.8842，Y：486141.7552），地层堆积情况如下：</w:t>
      </w:r>
    </w:p>
    <w:p w14:paraId="74C957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褐色黏土，土质致密、纯净。</w:t>
      </w:r>
    </w:p>
    <w:p w14:paraId="2CF9A962">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72" name="图片 72" descr="D:/1-小陈/1-上传/87-增城区增江街五星村38.548亩地块                计划书/增城区增江街五星村38.548亩地块/15、其他相关资料/勘探照片/土样照/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1-小陈/1-上传/87-增城区增江街五星村38.548亩地块                计划书/增城区增江街五星村38.548亩地块/15、其他相关资料/勘探照片/土样照/TK9.JPGTK9"/>
                    <pic:cNvPicPr>
                      <a:picLocks noChangeAspect="1"/>
                    </pic:cNvPicPr>
                  </pic:nvPicPr>
                  <pic:blipFill>
                    <a:blip r:embed="rId44"/>
                    <a:srcRect t="7" b="7"/>
                    <a:stretch>
                      <a:fillRect/>
                    </a:stretch>
                  </pic:blipFill>
                  <pic:spPr>
                    <a:xfrm>
                      <a:off x="0" y="0"/>
                      <a:ext cx="4319905" cy="2879725"/>
                    </a:xfrm>
                    <a:prstGeom prst="rect">
                      <a:avLst/>
                    </a:prstGeom>
                  </pic:spPr>
                </pic:pic>
              </a:graphicData>
            </a:graphic>
          </wp:inline>
        </w:drawing>
      </w:r>
    </w:p>
    <w:p w14:paraId="0B47A838">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35</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TK9土样（标杆长1米，土样由左到右）</w:t>
      </w:r>
    </w:p>
    <w:p w14:paraId="35A828B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24"/>
          <w:szCs w:val="24"/>
        </w:rPr>
        <w:t>TK1</w:t>
      </w:r>
      <w:r>
        <w:rPr>
          <w:rFonts w:hint="eastAsia" w:ascii="宋体" w:hAnsi="宋体"/>
          <w:b/>
          <w:bCs/>
          <w:color w:val="auto"/>
          <w:sz w:val="24"/>
          <w:szCs w:val="24"/>
          <w:lang w:val="en-US" w:eastAsia="zh-CN"/>
        </w:rPr>
        <w:t>0</w:t>
      </w:r>
      <w:r>
        <w:rPr>
          <w:rFonts w:hint="eastAsia" w:ascii="宋体" w:hAnsi="宋体"/>
          <w:b/>
          <w:bCs/>
          <w:color w:val="auto"/>
          <w:sz w:val="24"/>
          <w:szCs w:val="24"/>
        </w:rPr>
        <w:t>：</w:t>
      </w:r>
      <w:r>
        <w:rPr>
          <w:rFonts w:hint="eastAsia" w:ascii="宋体" w:hAnsi="宋体" w:eastAsia="宋体" w:cs="宋体"/>
          <w:color w:val="auto"/>
          <w:sz w:val="24"/>
          <w:szCs w:val="24"/>
          <w:lang w:val="en-US" w:eastAsia="zh-CN"/>
        </w:rPr>
        <w:t>位于</w:t>
      </w:r>
      <w:r>
        <w:rPr>
          <w:rFonts w:hint="eastAsia" w:ascii="宋体" w:hAnsi="宋体" w:cs="宋体"/>
          <w:color w:val="auto"/>
          <w:sz w:val="24"/>
          <w:szCs w:val="24"/>
          <w:lang w:val="en-US" w:eastAsia="zh-CN"/>
        </w:rPr>
        <w:t>勘探区域东南</w:t>
      </w:r>
      <w:r>
        <w:rPr>
          <w:rFonts w:hint="eastAsia" w:ascii="宋体" w:hAnsi="宋体" w:eastAsia="宋体" w:cs="宋体"/>
          <w:color w:val="auto"/>
          <w:sz w:val="24"/>
          <w:szCs w:val="24"/>
          <w:lang w:val="en-US" w:eastAsia="zh-CN"/>
        </w:rPr>
        <w:t>部，探孔中心坐标为（X：2577264.1748，Y：486164.7531），地层堆积情况如下：</w:t>
      </w:r>
    </w:p>
    <w:p w14:paraId="4967BA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①层：表土层，距地表0-0.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米，厚约0.</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米，为灰褐色黏土，土质疏松，包含植物根茎。该层下为生土，勘探深至1.0米，</w:t>
      </w:r>
      <w:r>
        <w:rPr>
          <w:rFonts w:hint="eastAsia" w:ascii="宋体" w:hAnsi="宋体" w:cs="宋体"/>
          <w:color w:val="auto"/>
          <w:sz w:val="24"/>
          <w:szCs w:val="24"/>
          <w:lang w:val="en-US" w:eastAsia="zh-CN"/>
        </w:rPr>
        <w:t>黄</w:t>
      </w:r>
      <w:r>
        <w:rPr>
          <w:rFonts w:hint="eastAsia" w:ascii="宋体" w:hAnsi="宋体" w:eastAsia="宋体" w:cs="宋体"/>
          <w:color w:val="auto"/>
          <w:sz w:val="24"/>
          <w:szCs w:val="24"/>
          <w:lang w:val="en-US" w:eastAsia="zh-CN"/>
        </w:rPr>
        <w:t>褐色黏土，土质致密、纯净。</w:t>
      </w:r>
    </w:p>
    <w:p w14:paraId="1A2D21FD">
      <w:pPr>
        <w:pStyle w:val="5"/>
        <w:keepNext w:val="0"/>
        <w:keepLines w:val="0"/>
        <w:pageBreakBefore w:val="0"/>
        <w:kinsoku/>
        <w:wordWrap/>
        <w:overflowPunct/>
        <w:topLinePunct w:val="0"/>
        <w:autoSpaceDE/>
        <w:autoSpaceDN/>
        <w:bidi w:val="0"/>
        <w:adjustRightInd/>
        <w:snapToGrid w:val="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4319905" cy="2879725"/>
            <wp:effectExtent l="0" t="0" r="4445" b="15875"/>
            <wp:docPr id="112" name="图片 112" descr="D:/1-小陈/1-上传/87-增城区增江街五星村38.548亩地块                计划书/增城区增江街五星村38.548亩地块/15、其他相关资料/勘探照片/土样照/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1-小陈/1-上传/87-增城区增江街五星村38.548亩地块                计划书/增城区增江街五星村38.548亩地块/15、其他相关资料/勘探照片/土样照/TK10.JPGTK10"/>
                    <pic:cNvPicPr>
                      <a:picLocks noChangeAspect="1"/>
                    </pic:cNvPicPr>
                  </pic:nvPicPr>
                  <pic:blipFill>
                    <a:blip r:embed="rId45"/>
                    <a:srcRect t="7" b="7"/>
                    <a:stretch>
                      <a:fillRect/>
                    </a:stretch>
                  </pic:blipFill>
                  <pic:spPr>
                    <a:xfrm>
                      <a:off x="0" y="0"/>
                      <a:ext cx="4319905" cy="2879725"/>
                    </a:xfrm>
                    <a:prstGeom prst="rect">
                      <a:avLst/>
                    </a:prstGeom>
                  </pic:spPr>
                </pic:pic>
              </a:graphicData>
            </a:graphic>
          </wp:inline>
        </w:drawing>
      </w:r>
    </w:p>
    <w:p w14:paraId="48CFCD36">
      <w:pPr>
        <w:pStyle w:val="5"/>
        <w:keepNext w:val="0"/>
        <w:keepLines w:val="0"/>
        <w:pageBreakBefore w:val="0"/>
        <w:widowControl/>
        <w:kinsoku/>
        <w:wordWrap/>
        <w:overflowPunct/>
        <w:topLinePunct w:val="0"/>
        <w:autoSpaceDE/>
        <w:autoSpaceDN/>
        <w:bidi w:val="0"/>
        <w:adjustRightInd/>
        <w:snapToGrid w:val="0"/>
        <w:spacing w:line="360" w:lineRule="auto"/>
        <w:ind w:firstLine="420" w:firstLineChars="200"/>
        <w:jc w:val="center"/>
        <w:textAlignment w:val="auto"/>
        <w:outlineLvl w:val="9"/>
        <w:rPr>
          <w:rFonts w:hint="eastAsia" w:ascii="黑体" w:hAnsi="黑体" w:eastAsia="黑体" w:cs="黑体"/>
          <w:color w:val="auto"/>
          <w:lang w:val="en-US" w:eastAsia="zh-CN"/>
        </w:rPr>
      </w:pPr>
      <w:r>
        <w:rPr>
          <w:rFonts w:hint="eastAsia" w:ascii="黑体" w:hAnsi="黑体" w:eastAsia="黑体" w:cs="黑体"/>
          <w:color w:val="auto"/>
          <w:lang w:val="en-US" w:eastAsia="zh-CN"/>
        </w:rPr>
        <w:t xml:space="preserve">图 </w:t>
      </w:r>
      <w:r>
        <w:rPr>
          <w:rFonts w:hint="eastAsia" w:ascii="黑体" w:hAnsi="黑体" w:eastAsia="黑体" w:cs="黑体"/>
          <w:color w:val="auto"/>
          <w:lang w:val="en-US" w:eastAsia="zh-CN"/>
        </w:rPr>
        <w:fldChar w:fldCharType="begin"/>
      </w:r>
      <w:r>
        <w:rPr>
          <w:rFonts w:hint="eastAsia" w:ascii="黑体" w:hAnsi="黑体" w:eastAsia="黑体" w:cs="黑体"/>
          <w:color w:val="auto"/>
          <w:lang w:val="en-US" w:eastAsia="zh-CN"/>
        </w:rPr>
        <w:instrText xml:space="preserve"> SEQ 图 \* ARABIC </w:instrText>
      </w:r>
      <w:r>
        <w:rPr>
          <w:rFonts w:hint="eastAsia" w:ascii="黑体" w:hAnsi="黑体" w:eastAsia="黑体" w:cs="黑体"/>
          <w:color w:val="auto"/>
          <w:lang w:val="en-US" w:eastAsia="zh-CN"/>
        </w:rPr>
        <w:fldChar w:fldCharType="separate"/>
      </w:r>
      <w:r>
        <w:rPr>
          <w:rFonts w:hint="eastAsia" w:ascii="黑体" w:hAnsi="黑体" w:eastAsia="黑体" w:cs="黑体"/>
          <w:color w:val="auto"/>
          <w:lang w:val="en-US" w:eastAsia="zh-CN"/>
        </w:rPr>
        <w:t>36</w:t>
      </w:r>
      <w:r>
        <w:rPr>
          <w:rFonts w:hint="eastAsia" w:ascii="黑体" w:hAnsi="黑体" w:eastAsia="黑体" w:cs="黑体"/>
          <w:color w:val="auto"/>
          <w:lang w:val="en-US" w:eastAsia="zh-CN"/>
        </w:rPr>
        <w:fldChar w:fldCharType="end"/>
      </w:r>
      <w:r>
        <w:rPr>
          <w:rFonts w:hint="eastAsia" w:ascii="黑体" w:hAnsi="黑体" w:eastAsia="黑体" w:cs="黑体"/>
          <w:color w:val="auto"/>
          <w:lang w:val="en-US" w:eastAsia="zh-CN"/>
        </w:rPr>
        <w:t xml:space="preserve">  TK10土样（标杆长1米，土样由左到右）</w:t>
      </w:r>
      <w:bookmarkEnd w:id="77"/>
      <w:bookmarkEnd w:id="78"/>
      <w:bookmarkEnd w:id="79"/>
      <w:bookmarkEnd w:id="80"/>
      <w:bookmarkEnd w:id="81"/>
      <w:bookmarkEnd w:id="82"/>
    </w:p>
    <w:p w14:paraId="5382F6BC">
      <w:pPr>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2198F299">
      <w:pPr>
        <w:pStyle w:val="3"/>
        <w:ind w:firstLine="560" w:firstLineChars="200"/>
        <w:rPr>
          <w:rFonts w:hint="default"/>
          <w:b w:val="0"/>
          <w:bCs/>
          <w:color w:val="auto"/>
          <w:highlight w:val="none"/>
          <w:lang w:val="en-US" w:eastAsia="zh-CN"/>
        </w:rPr>
      </w:pPr>
      <w:bookmarkStart w:id="83" w:name="_Toc11218"/>
      <w:r>
        <w:rPr>
          <w:rFonts w:hint="eastAsia"/>
          <w:b w:val="0"/>
          <w:bCs/>
          <w:color w:val="auto"/>
          <w:highlight w:val="none"/>
          <w:lang w:val="en-US" w:eastAsia="zh-CN"/>
        </w:rPr>
        <w:t>（五）探沟勘探</w:t>
      </w:r>
      <w:bookmarkEnd w:id="83"/>
    </w:p>
    <w:p w14:paraId="5F019D4B">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eastAsia" w:ascii="宋体" w:hAnsi="宋体" w:cs="宋体"/>
          <w:color w:val="auto"/>
          <w:sz w:val="24"/>
          <w:szCs w:val="24"/>
          <w:lang w:eastAsia="zh-CN"/>
        </w:rPr>
      </w:pPr>
      <w:bookmarkStart w:id="84" w:name="_Hlk47080372"/>
      <w:r>
        <w:rPr>
          <w:rFonts w:hint="eastAsia" w:ascii="宋体" w:hAnsi="宋体" w:eastAsia="宋体" w:cs="宋体"/>
          <w:color w:val="auto"/>
          <w:kern w:val="2"/>
          <w:sz w:val="24"/>
          <w:szCs w:val="24"/>
          <w:lang w:val="en-US" w:eastAsia="zh-CN" w:bidi="ar-SA"/>
        </w:rPr>
        <w:t>根据勘探区域的实际情况，结合探孔勘探的结果，经过多方考虑，我们采用布置探沟的方式进行考古勘探工作，以</w:t>
      </w:r>
      <w:r>
        <w:rPr>
          <w:rFonts w:hint="eastAsia" w:cs="宋体"/>
          <w:color w:val="auto"/>
          <w:kern w:val="2"/>
          <w:sz w:val="24"/>
          <w:szCs w:val="24"/>
          <w:lang w:val="en-US" w:eastAsia="zh-CN" w:bidi="ar-SA"/>
        </w:rPr>
        <w:t>便</w:t>
      </w:r>
      <w:r>
        <w:rPr>
          <w:rFonts w:hint="eastAsia" w:ascii="宋体" w:hAnsi="宋体" w:eastAsia="宋体" w:cs="宋体"/>
          <w:color w:val="auto"/>
          <w:kern w:val="2"/>
          <w:sz w:val="24"/>
          <w:szCs w:val="24"/>
          <w:lang w:val="en-US" w:eastAsia="zh-CN" w:bidi="ar-SA"/>
        </w:rPr>
        <w:t>进一步了解</w:t>
      </w:r>
      <w:r>
        <w:rPr>
          <w:rFonts w:hint="eastAsia" w:cs="宋体"/>
          <w:color w:val="auto"/>
          <w:kern w:val="2"/>
          <w:sz w:val="24"/>
          <w:szCs w:val="24"/>
          <w:lang w:val="en-US" w:eastAsia="zh-CN" w:bidi="ar-SA"/>
        </w:rPr>
        <w:t>地块内地层堆积情况</w:t>
      </w:r>
      <w:r>
        <w:rPr>
          <w:rFonts w:hint="eastAsia" w:ascii="宋体" w:hAnsi="宋体" w:eastAsia="宋体" w:cs="宋体"/>
          <w:color w:val="auto"/>
          <w:kern w:val="2"/>
          <w:sz w:val="24"/>
          <w:szCs w:val="24"/>
          <w:lang w:val="en-US" w:eastAsia="zh-CN" w:bidi="ar-SA"/>
        </w:rPr>
        <w:t>。我们在地块</w:t>
      </w:r>
      <w:r>
        <w:rPr>
          <w:rFonts w:hint="eastAsia" w:ascii="宋体" w:hAnsi="宋体" w:cs="宋体"/>
          <w:color w:val="auto"/>
          <w:kern w:val="2"/>
          <w:sz w:val="24"/>
          <w:szCs w:val="24"/>
          <w:lang w:val="en-US" w:eastAsia="zh-CN" w:bidi="ar-SA"/>
        </w:rPr>
        <w:t>内</w:t>
      </w:r>
      <w:r>
        <w:rPr>
          <w:rFonts w:hint="eastAsia" w:ascii="宋体" w:hAnsi="宋体" w:eastAsia="宋体" w:cs="宋体"/>
          <w:color w:val="auto"/>
          <w:kern w:val="2"/>
          <w:sz w:val="24"/>
          <w:szCs w:val="24"/>
          <w:lang w:val="en-US" w:eastAsia="zh-CN" w:bidi="ar-SA"/>
        </w:rPr>
        <w:t>布置探沟</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条，编号</w:t>
      </w:r>
      <w:r>
        <w:rPr>
          <w:rFonts w:hint="eastAsia"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TG1。</w:t>
      </w:r>
      <w:r>
        <w:rPr>
          <w:rFonts w:hint="eastAsia" w:ascii="宋体" w:hAnsi="宋体" w:cs="宋体"/>
          <w:color w:val="auto"/>
          <w:sz w:val="24"/>
          <w:szCs w:val="24"/>
          <w:lang w:eastAsia="zh-CN"/>
        </w:rPr>
        <w:t>具体情况介绍如下：</w:t>
      </w:r>
      <w:bookmarkEnd w:id="84"/>
    </w:p>
    <w:p w14:paraId="201A0501">
      <w:pPr>
        <w:pStyle w:val="18"/>
        <w:keepNext w:val="0"/>
        <w:keepLines w:val="0"/>
        <w:pageBreakBefore w:val="0"/>
        <w:widowControl/>
        <w:kinsoku/>
        <w:wordWrap/>
        <w:overflowPunct/>
        <w:topLinePunct w:val="0"/>
        <w:autoSpaceDE/>
        <w:autoSpaceDN/>
        <w:bidi w:val="0"/>
        <w:adjustRightInd/>
        <w:snapToGrid/>
        <w:spacing w:after="0" w:line="0" w:lineRule="atLeast"/>
        <w:ind w:left="0" w:leftChars="0" w:firstLine="0" w:firstLineChars="0"/>
        <w:jc w:val="center"/>
        <w:textAlignment w:val="auto"/>
        <w:rPr>
          <w:rFonts w:hint="eastAsia" w:ascii="黑体" w:hAnsi="黑体" w:eastAsia="黑体" w:cs="黑体"/>
          <w:color w:val="auto"/>
          <w:lang w:val="en-US" w:eastAsia="zh-CN"/>
        </w:rPr>
      </w:pPr>
      <w:r>
        <w:rPr>
          <w:color w:val="auto"/>
          <w:lang w:eastAsia="zh-CN"/>
        </w:rPr>
        <w:drawing>
          <wp:inline distT="0" distB="0" distL="114300" distR="114300">
            <wp:extent cx="5128895" cy="3420110"/>
            <wp:effectExtent l="0" t="0" r="14605" b="8890"/>
            <wp:docPr id="38" name="图片 38" descr="D:/1-小陈/1-上传/87-增城区增江街五星村38.548亩地块                计划书/增城区增江街五星村38.548亩地块/15、其他相关资料/其他/探沟分布示意图.jpg探沟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1-小陈/1-上传/87-增城区增江街五星村38.548亩地块                计划书/增城区增江街五星村38.548亩地块/15、其他相关资料/其他/探沟分布示意图.jpg探沟分布示意图"/>
                    <pic:cNvPicPr>
                      <a:picLocks noChangeAspect="1"/>
                    </pic:cNvPicPr>
                  </pic:nvPicPr>
                  <pic:blipFill>
                    <a:blip r:embed="rId46"/>
                    <a:srcRect t="2885" b="2885"/>
                    <a:stretch>
                      <a:fillRect/>
                    </a:stretch>
                  </pic:blipFill>
                  <pic:spPr>
                    <a:xfrm>
                      <a:off x="0" y="0"/>
                      <a:ext cx="5128895" cy="3420110"/>
                    </a:xfrm>
                    <a:prstGeom prst="rect">
                      <a:avLst/>
                    </a:prstGeom>
                    <a:ln>
                      <a:noFill/>
                    </a:ln>
                  </pic:spPr>
                </pic:pic>
              </a:graphicData>
            </a:graphic>
          </wp:inline>
        </w:drawing>
      </w:r>
    </w:p>
    <w:p w14:paraId="056962CA">
      <w:pPr>
        <w:pStyle w:val="5"/>
        <w:keepNext w:val="0"/>
        <w:keepLines w:val="0"/>
        <w:pageBreakBefore w:val="0"/>
        <w:widowControl/>
        <w:kinsoku/>
        <w:wordWrap/>
        <w:overflowPunct/>
        <w:topLinePunct w:val="0"/>
        <w:autoSpaceDE/>
        <w:autoSpaceDN/>
        <w:bidi w:val="0"/>
        <w:adjustRightInd/>
        <w:snapToGrid/>
        <w:spacing w:line="0" w:lineRule="atLeast"/>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37</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w:t>
      </w:r>
      <w:r>
        <w:rPr>
          <w:rFonts w:hint="eastAsia" w:ascii="黑体" w:hAnsi="黑体" w:eastAsia="黑体" w:cs="黑体"/>
          <w:color w:val="auto"/>
          <w:sz w:val="21"/>
          <w:szCs w:val="21"/>
          <w:highlight w:val="none"/>
          <w:lang w:val="en-US" w:eastAsia="zh-CN"/>
        </w:rPr>
        <w:t>项目地块内</w:t>
      </w:r>
      <w:r>
        <w:rPr>
          <w:rFonts w:hint="eastAsia" w:ascii="黑体" w:hAnsi="黑体" w:eastAsia="黑体" w:cs="黑体"/>
          <w:color w:val="auto"/>
          <w:highlight w:val="none"/>
          <w:lang w:val="en-US" w:eastAsia="zh-CN"/>
        </w:rPr>
        <w:t>探沟分布示意图（</w:t>
      </w:r>
      <w:r>
        <w:rPr>
          <w:rFonts w:hint="eastAsia" w:ascii="黑体" w:hAnsi="黑体" w:cs="黑体"/>
          <w:color w:val="auto"/>
          <w:highlight w:val="none"/>
          <w:lang w:val="en-US" w:eastAsia="zh-CN"/>
        </w:rPr>
        <w:t>蓝色标记点</w:t>
      </w:r>
      <w:r>
        <w:rPr>
          <w:rFonts w:hint="eastAsia" w:ascii="黑体" w:hAnsi="黑体" w:eastAsia="黑体" w:cs="黑体"/>
          <w:color w:val="auto"/>
          <w:highlight w:val="none"/>
          <w:lang w:val="en-US" w:eastAsia="zh-CN"/>
        </w:rPr>
        <w:t>）</w:t>
      </w:r>
    </w:p>
    <w:p w14:paraId="24921D67">
      <w:pPr>
        <w:rPr>
          <w:rFonts w:hint="eastAsia" w:ascii="黑体" w:hAnsi="黑体" w:eastAsia="黑体" w:cs="黑体"/>
          <w:color w:val="auto"/>
          <w:highlight w:val="none"/>
          <w:lang w:val="en-US" w:eastAsia="zh-CN"/>
        </w:rPr>
      </w:pPr>
    </w:p>
    <w:p w14:paraId="05B23045">
      <w:pPr>
        <w:pStyle w:val="18"/>
        <w:rPr>
          <w:rFonts w:hint="eastAsia" w:ascii="黑体" w:hAnsi="黑体" w:eastAsia="黑体" w:cs="黑体"/>
          <w:color w:val="auto"/>
          <w:highlight w:val="none"/>
          <w:lang w:val="en-US" w:eastAsia="zh-CN"/>
        </w:rPr>
      </w:pPr>
    </w:p>
    <w:p w14:paraId="1731EE49">
      <w:pPr>
        <w:keepNext w:val="0"/>
        <w:keepLines w:val="0"/>
        <w:pageBreakBefore w:val="0"/>
        <w:widowControl/>
        <w:kinsoku/>
        <w:wordWrap/>
        <w:overflowPunct/>
        <w:topLinePunct w:val="0"/>
        <w:autoSpaceDE/>
        <w:autoSpaceDN/>
        <w:bidi w:val="0"/>
        <w:adjustRightInd/>
        <w:snapToGrid/>
        <w:spacing w:beforeAutospacing="0" w:line="360" w:lineRule="auto"/>
        <w:ind w:firstLine="482"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cs="宋体"/>
          <w:b/>
          <w:bCs/>
          <w:color w:val="auto"/>
          <w:sz w:val="24"/>
          <w:szCs w:val="24"/>
          <w:highlight w:val="none"/>
          <w:lang w:val="en-US" w:eastAsia="zh-CN"/>
        </w:rPr>
        <w:t>TG1：</w:t>
      </w:r>
      <w:r>
        <w:rPr>
          <w:rFonts w:hint="eastAsia" w:ascii="宋体" w:hAnsi="宋体" w:eastAsia="宋体" w:cs="宋体"/>
          <w:color w:val="auto"/>
          <w:sz w:val="24"/>
          <w:szCs w:val="24"/>
          <w:highlight w:val="none"/>
          <w:u w:val="none"/>
          <w:lang w:val="en-US" w:eastAsia="zh-CN"/>
        </w:rPr>
        <w:t>位于</w:t>
      </w:r>
      <w:r>
        <w:rPr>
          <w:rFonts w:hint="eastAsia" w:ascii="宋体" w:hAnsi="宋体" w:cs="宋体"/>
          <w:color w:val="auto"/>
          <w:sz w:val="24"/>
          <w:szCs w:val="24"/>
          <w:highlight w:val="none"/>
          <w:u w:val="none"/>
          <w:lang w:val="en-US" w:eastAsia="zh-CN"/>
        </w:rPr>
        <w:t>勘探区域中部</w:t>
      </w:r>
      <w:r>
        <w:rPr>
          <w:rFonts w:hint="eastAsia" w:ascii="宋体" w:hAnsi="宋体" w:eastAsia="宋体" w:cs="宋体"/>
          <w:color w:val="auto"/>
          <w:sz w:val="24"/>
          <w:szCs w:val="24"/>
          <w:highlight w:val="none"/>
          <w:u w:val="none"/>
          <w:lang w:val="en-US" w:eastAsia="zh-CN"/>
        </w:rPr>
        <w:t>，西南角坐标为（X：2577270.9008，Y：486098.0718），方向0°，规格2m×</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m</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南北长</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val="en-US" w:eastAsia="zh-CN"/>
        </w:rPr>
        <w:t>米，东西宽2米，面积</w:t>
      </w:r>
      <w:r>
        <w:rPr>
          <w:rFonts w:hint="eastAsia" w:ascii="宋体" w:hAnsi="宋体" w:cs="宋体"/>
          <w:color w:val="auto"/>
          <w:sz w:val="24"/>
          <w:szCs w:val="24"/>
          <w:highlight w:val="none"/>
          <w:u w:val="none"/>
          <w:lang w:val="en-US" w:eastAsia="zh-CN"/>
        </w:rPr>
        <w:t>8</w:t>
      </w:r>
      <w:r>
        <w:rPr>
          <w:rFonts w:hint="eastAsia" w:ascii="宋体" w:hAnsi="宋体" w:eastAsia="宋体" w:cs="宋体"/>
          <w:color w:val="auto"/>
          <w:sz w:val="24"/>
          <w:szCs w:val="24"/>
          <w:highlight w:val="none"/>
          <w:u w:val="none"/>
          <w:lang w:val="en-US" w:eastAsia="zh-CN"/>
        </w:rPr>
        <w:t>平方米。</w:t>
      </w:r>
    </w:p>
    <w:p w14:paraId="0D7474A1">
      <w:pPr>
        <w:keepNext w:val="0"/>
        <w:keepLines w:val="0"/>
        <w:pageBreakBefore w:val="0"/>
        <w:widowControl/>
        <w:kinsoku/>
        <w:wordWrap/>
        <w:overflowPunct/>
        <w:topLinePunct w:val="0"/>
        <w:autoSpaceDE/>
        <w:autoSpaceDN/>
        <w:bidi w:val="0"/>
        <w:adjustRightInd/>
        <w:snapToGrid/>
        <w:spacing w:beforeAutospacing="0" w:line="360" w:lineRule="auto"/>
        <w:ind w:firstLine="480"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该探沟清理深度约</w:t>
      </w:r>
      <w:r>
        <w:rPr>
          <w:rFonts w:hint="eastAsia" w:ascii="宋体" w:hAnsi="宋体" w:cs="宋体"/>
          <w:color w:val="auto"/>
          <w:sz w:val="24"/>
          <w:szCs w:val="24"/>
          <w:highlight w:val="none"/>
          <w:u w:val="none"/>
          <w:lang w:val="en-US" w:eastAsia="zh-CN"/>
        </w:rPr>
        <w:t>0.55-0.65</w:t>
      </w:r>
      <w:r>
        <w:rPr>
          <w:rFonts w:hint="eastAsia" w:ascii="宋体" w:hAnsi="宋体" w:eastAsia="宋体" w:cs="宋体"/>
          <w:color w:val="auto"/>
          <w:sz w:val="24"/>
          <w:szCs w:val="24"/>
          <w:highlight w:val="none"/>
          <w:u w:val="none"/>
          <w:lang w:val="en-US" w:eastAsia="zh-CN"/>
        </w:rPr>
        <w:t>米，地层堆积依土色、土质及包含物划分如下：</w:t>
      </w:r>
    </w:p>
    <w:p w14:paraId="3BC2DF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①层：</w:t>
      </w:r>
      <w:r>
        <w:rPr>
          <w:rFonts w:hint="eastAsia" w:ascii="宋体" w:hAnsi="宋体" w:cs="宋体"/>
          <w:color w:val="auto"/>
          <w:sz w:val="24"/>
          <w:szCs w:val="24"/>
          <w:highlight w:val="none"/>
          <w:lang w:val="en-US" w:eastAsia="zh-CN"/>
        </w:rPr>
        <w:t>表土</w:t>
      </w:r>
      <w:r>
        <w:rPr>
          <w:rFonts w:hint="eastAsia" w:ascii="宋体" w:hAnsi="宋体" w:eastAsia="宋体" w:cs="宋体"/>
          <w:color w:val="auto"/>
          <w:sz w:val="24"/>
          <w:szCs w:val="24"/>
          <w:highlight w:val="none"/>
          <w:lang w:val="en-US" w:eastAsia="zh-CN"/>
        </w:rPr>
        <w:t>层，厚0.</w:t>
      </w:r>
      <w:r>
        <w:rPr>
          <w:rFonts w:hint="eastAsia" w:ascii="宋体" w:hAnsi="宋体" w:cs="宋体"/>
          <w:color w:val="auto"/>
          <w:sz w:val="24"/>
          <w:szCs w:val="24"/>
          <w:highlight w:val="none"/>
          <w:lang w:val="en-US" w:eastAsia="zh-CN"/>
        </w:rPr>
        <w:t>15-0.4</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，黄</w:t>
      </w:r>
      <w:r>
        <w:rPr>
          <w:rFonts w:hint="eastAsia" w:ascii="宋体" w:hAnsi="宋体" w:eastAsia="宋体" w:cs="宋体"/>
          <w:color w:val="auto"/>
          <w:sz w:val="24"/>
          <w:szCs w:val="24"/>
          <w:highlight w:val="none"/>
          <w:lang w:val="en-US" w:eastAsia="zh-CN"/>
        </w:rPr>
        <w:t>褐色黏土，</w:t>
      </w:r>
      <w:r>
        <w:rPr>
          <w:rFonts w:hint="eastAsia" w:ascii="宋体" w:hAnsi="宋体" w:cs="宋体"/>
          <w:color w:val="auto"/>
          <w:sz w:val="24"/>
          <w:szCs w:val="24"/>
          <w:highlight w:val="none"/>
          <w:lang w:val="en-US" w:eastAsia="zh-CN"/>
        </w:rPr>
        <w:t>土质疏松</w:t>
      </w:r>
      <w:r>
        <w:rPr>
          <w:rFonts w:hint="eastAsia" w:ascii="宋体" w:hAnsi="宋体" w:eastAsia="宋体" w:cs="宋体"/>
          <w:color w:val="auto"/>
          <w:sz w:val="24"/>
          <w:szCs w:val="24"/>
          <w:highlight w:val="none"/>
          <w:lang w:val="en-US" w:eastAsia="zh-CN"/>
        </w:rPr>
        <w:t>，包含</w:t>
      </w:r>
      <w:r>
        <w:rPr>
          <w:rFonts w:hint="eastAsia" w:ascii="宋体" w:hAnsi="宋体" w:cs="宋体"/>
          <w:color w:val="auto"/>
          <w:sz w:val="24"/>
          <w:szCs w:val="24"/>
          <w:highlight w:val="none"/>
          <w:lang w:val="en-US" w:eastAsia="zh-CN"/>
        </w:rPr>
        <w:t>植物根茎</w:t>
      </w:r>
      <w:r>
        <w:rPr>
          <w:rFonts w:hint="eastAsia" w:ascii="宋体" w:hAnsi="宋体" w:eastAsia="宋体" w:cs="宋体"/>
          <w:color w:val="auto"/>
          <w:sz w:val="24"/>
          <w:szCs w:val="24"/>
          <w:highlight w:val="none"/>
          <w:lang w:val="en-US" w:eastAsia="zh-CN"/>
        </w:rPr>
        <w:t>等。</w:t>
      </w:r>
    </w:p>
    <w:p w14:paraId="190DAE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该层下为生土，</w:t>
      </w:r>
      <w:r>
        <w:rPr>
          <w:rFonts w:hint="eastAsia" w:ascii="宋体" w:hAnsi="宋体" w:cs="宋体"/>
          <w:color w:val="auto"/>
          <w:sz w:val="24"/>
          <w:szCs w:val="24"/>
          <w:highlight w:val="none"/>
          <w:lang w:val="en-US" w:eastAsia="zh-CN"/>
        </w:rPr>
        <w:t>黄褐色</w:t>
      </w:r>
      <w:r>
        <w:rPr>
          <w:rFonts w:hint="eastAsia" w:ascii="宋体" w:hAnsi="宋体" w:eastAsia="宋体" w:cs="宋体"/>
          <w:color w:val="auto"/>
          <w:sz w:val="24"/>
          <w:szCs w:val="24"/>
          <w:highlight w:val="none"/>
          <w:lang w:val="en-US" w:eastAsia="zh-CN"/>
        </w:rPr>
        <w:t>黏土，</w:t>
      </w:r>
      <w:r>
        <w:rPr>
          <w:rFonts w:hint="eastAsia" w:ascii="宋体" w:hAnsi="宋体" w:cs="宋体"/>
          <w:color w:val="auto"/>
          <w:sz w:val="24"/>
          <w:szCs w:val="24"/>
          <w:highlight w:val="none"/>
          <w:lang w:val="en-US" w:eastAsia="zh-CN"/>
        </w:rPr>
        <w:t>土质</w:t>
      </w:r>
      <w:r>
        <w:rPr>
          <w:rFonts w:hint="eastAsia" w:ascii="宋体" w:hAnsi="宋体" w:eastAsia="宋体" w:cs="宋体"/>
          <w:color w:val="auto"/>
          <w:sz w:val="24"/>
          <w:szCs w:val="24"/>
          <w:highlight w:val="none"/>
          <w:lang w:val="en-US" w:eastAsia="zh-CN"/>
        </w:rPr>
        <w:t>致密，纯净。</w:t>
      </w:r>
    </w:p>
    <w:p w14:paraId="654F0D86">
      <w:pPr>
        <w:pStyle w:val="18"/>
        <w:rPr>
          <w:rFonts w:hint="eastAsia" w:ascii="宋体" w:hAnsi="宋体" w:eastAsia="宋体" w:cs="宋体"/>
          <w:color w:val="auto"/>
          <w:sz w:val="24"/>
          <w:szCs w:val="24"/>
          <w:highlight w:val="none"/>
          <w:lang w:val="en-US" w:eastAsia="zh-CN"/>
        </w:rPr>
      </w:pPr>
    </w:p>
    <w:p w14:paraId="0B28B9C5">
      <w:pPr>
        <w:rPr>
          <w:rFonts w:hint="eastAsia"/>
          <w:color w:val="auto"/>
          <w:lang w:val="en-US" w:eastAsia="zh-CN"/>
        </w:rPr>
      </w:pPr>
      <w:r>
        <w:rPr>
          <w:rFonts w:hint="eastAsia"/>
          <w:color w:val="auto"/>
          <w:lang w:val="en-US" w:eastAsia="zh-CN"/>
        </w:rPr>
        <w:br w:type="page"/>
      </w:r>
    </w:p>
    <w:p w14:paraId="3D455557">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391A0D7C">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46370" cy="3599815"/>
            <wp:effectExtent l="0" t="0" r="11430" b="635"/>
            <wp:docPr id="2" name="图片 2" descr="D:/1-小陈/1-上传/87-增城区增江街五星村38.548亩地块                计划书/增城区增江街五星村38.548亩地块/15、其他相关资料/勘探照片/探沟照/17.清障工作照（东南-西北）.JPG17.清障工作照（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小陈/1-上传/87-增城区增江街五星村38.548亩地块                计划书/增城区增江街五星村38.548亩地块/15、其他相关资料/勘探照片/探沟照/17.清障工作照（东南-西北）.JPG17.清障工作照（东南-西北）"/>
                    <pic:cNvPicPr>
                      <a:picLocks noChangeAspect="1"/>
                    </pic:cNvPicPr>
                  </pic:nvPicPr>
                  <pic:blipFill>
                    <a:blip r:embed="rId47"/>
                    <a:srcRect l="1420" r="1420"/>
                    <a:stretch>
                      <a:fillRect/>
                    </a:stretch>
                  </pic:blipFill>
                  <pic:spPr>
                    <a:xfrm>
                      <a:off x="0" y="0"/>
                      <a:ext cx="5246370" cy="3599815"/>
                    </a:xfrm>
                    <a:prstGeom prst="rect">
                      <a:avLst/>
                    </a:prstGeom>
                    <a:ln>
                      <a:noFill/>
                    </a:ln>
                  </pic:spPr>
                </pic:pic>
              </a:graphicData>
            </a:graphic>
          </wp:inline>
        </w:drawing>
      </w:r>
    </w:p>
    <w:p w14:paraId="54371B4D">
      <w:pPr>
        <w:pStyle w:val="5"/>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38</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探沟清表工作照（</w:t>
      </w:r>
      <w:r>
        <w:rPr>
          <w:rFonts w:hint="eastAsia" w:ascii="黑体" w:hAnsi="黑体" w:cs="黑体"/>
          <w:color w:val="auto"/>
          <w:lang w:val="en-US" w:eastAsia="zh-CN"/>
        </w:rPr>
        <w:t>东南-西北</w:t>
      </w:r>
      <w:r>
        <w:rPr>
          <w:rFonts w:hint="eastAsia" w:ascii="黑体" w:hAnsi="黑体" w:eastAsia="黑体" w:cs="黑体"/>
          <w:color w:val="auto"/>
          <w:lang w:val="en-US" w:eastAsia="zh-CN"/>
        </w:rPr>
        <w:t>）</w:t>
      </w:r>
    </w:p>
    <w:p w14:paraId="1D4E72B8">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688D63B">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D541BB6">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4" name="图片 4" descr="D:/1-小陈/1-上传/87-增城区增江街五星村38.548亩地块                计划书/增城区增江街五星村38.548亩地块/15、其他相关资料/勘探照片/探沟照/18.布方工作照（东南-西北）.JPG18.布方工作照（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小陈/1-上传/87-增城区增江街五星村38.548亩地块                计划书/增城区增江街五星村38.548亩地块/15、其他相关资料/勘探照片/探沟照/18.布方工作照（东南-西北）.JPG18.布方工作照（东南-西北）"/>
                    <pic:cNvPicPr>
                      <a:picLocks noChangeAspect="1"/>
                    </pic:cNvPicPr>
                  </pic:nvPicPr>
                  <pic:blipFill>
                    <a:blip r:embed="rId48"/>
                    <a:srcRect l="9" r="9"/>
                    <a:stretch>
                      <a:fillRect/>
                    </a:stretch>
                  </pic:blipFill>
                  <pic:spPr>
                    <a:xfrm>
                      <a:off x="0" y="0"/>
                      <a:ext cx="5237480" cy="3491865"/>
                    </a:xfrm>
                    <a:prstGeom prst="rect">
                      <a:avLst/>
                    </a:prstGeom>
                    <a:ln>
                      <a:noFill/>
                    </a:ln>
                  </pic:spPr>
                </pic:pic>
              </a:graphicData>
            </a:graphic>
          </wp:inline>
        </w:drawing>
      </w:r>
    </w:p>
    <w:p w14:paraId="1DA6DA3A">
      <w:pPr>
        <w:pStyle w:val="5"/>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39</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布</w:t>
      </w:r>
      <w:r>
        <w:rPr>
          <w:rFonts w:hint="eastAsia" w:ascii="黑体" w:hAnsi="黑体" w:cs="黑体"/>
          <w:color w:val="auto"/>
          <w:lang w:val="en-US" w:eastAsia="zh-CN"/>
        </w:rPr>
        <w:t>方</w:t>
      </w:r>
      <w:r>
        <w:rPr>
          <w:rFonts w:hint="eastAsia" w:ascii="黑体" w:hAnsi="黑体" w:eastAsia="黑体" w:cs="黑体"/>
          <w:color w:val="auto"/>
          <w:lang w:val="en-US" w:eastAsia="zh-CN"/>
        </w:rPr>
        <w:t>工作照（</w:t>
      </w:r>
      <w:r>
        <w:rPr>
          <w:rFonts w:hint="eastAsia" w:ascii="黑体" w:hAnsi="黑体" w:cs="黑体"/>
          <w:color w:val="auto"/>
          <w:lang w:val="en-US" w:eastAsia="zh-CN"/>
        </w:rPr>
        <w:t>东南-西北</w:t>
      </w:r>
      <w:r>
        <w:rPr>
          <w:rFonts w:hint="eastAsia" w:ascii="黑体" w:hAnsi="黑体" w:eastAsia="黑体" w:cs="黑体"/>
          <w:color w:val="auto"/>
          <w:lang w:val="en-US" w:eastAsia="zh-CN"/>
        </w:rPr>
        <w:t>）</w:t>
      </w:r>
    </w:p>
    <w:p w14:paraId="3BC3B701">
      <w:pPr>
        <w:rPr>
          <w:rFonts w:hint="eastAsia"/>
          <w:color w:val="auto"/>
          <w:lang w:val="en-US" w:eastAsia="zh-CN"/>
        </w:rPr>
      </w:pPr>
      <w:r>
        <w:rPr>
          <w:rFonts w:hint="eastAsia"/>
          <w:color w:val="auto"/>
          <w:lang w:val="en-US" w:eastAsia="zh-CN"/>
        </w:rPr>
        <w:br w:type="page"/>
      </w:r>
    </w:p>
    <w:p w14:paraId="450F380D">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194D504B">
      <w:pPr>
        <w:pStyle w:val="5"/>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color w:val="auto"/>
          <w:lang w:val="en-US" w:eastAsia="zh-CN"/>
        </w:rPr>
        <w:drawing>
          <wp:inline distT="0" distB="0" distL="114300" distR="114300">
            <wp:extent cx="5212080" cy="3474720"/>
            <wp:effectExtent l="0" t="0" r="7620" b="11430"/>
            <wp:docPr id="28" name="图片 28" descr="D:/1-小陈/1-上传/87-增城区增江街五星村38.548亩地块                计划书/增城区增江街五星村38.548亩地块/15、其他相关资料/勘探照片/探沟照/1.TG1正视开口照(南-北).JPG1.TG1正视开口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1-小陈/1-上传/87-增城区增江街五星村38.548亩地块                计划书/增城区增江街五星村38.548亩地块/15、其他相关资料/勘探照片/探沟照/1.TG1正视开口照(南-北).JPG1.TG1正视开口照(南-北)"/>
                    <pic:cNvPicPr>
                      <a:picLocks noChangeAspect="1"/>
                    </pic:cNvPicPr>
                  </pic:nvPicPr>
                  <pic:blipFill>
                    <a:blip r:embed="rId49"/>
                    <a:srcRect/>
                    <a:stretch>
                      <a:fillRect/>
                    </a:stretch>
                  </pic:blipFill>
                  <pic:spPr>
                    <a:xfrm>
                      <a:off x="0" y="0"/>
                      <a:ext cx="5212080" cy="3474720"/>
                    </a:xfrm>
                    <a:prstGeom prst="rect">
                      <a:avLst/>
                    </a:prstGeom>
                  </pic:spPr>
                </pic:pic>
              </a:graphicData>
            </a:graphic>
          </wp:inline>
        </w:drawing>
      </w: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40</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布</w:t>
      </w:r>
      <w:r>
        <w:rPr>
          <w:rFonts w:hint="eastAsia" w:ascii="黑体" w:hAnsi="黑体" w:cs="黑体"/>
          <w:color w:val="auto"/>
          <w:lang w:val="en-US" w:eastAsia="zh-CN"/>
        </w:rPr>
        <w:t>方完成</w:t>
      </w:r>
      <w:r>
        <w:rPr>
          <w:rFonts w:hint="eastAsia" w:ascii="黑体" w:hAnsi="黑体" w:eastAsia="黑体" w:cs="黑体"/>
          <w:color w:val="auto"/>
          <w:lang w:val="en-US" w:eastAsia="zh-CN"/>
        </w:rPr>
        <w:t>（</w:t>
      </w:r>
      <w:r>
        <w:rPr>
          <w:rFonts w:hint="eastAsia" w:ascii="黑体" w:hAnsi="黑体" w:cs="黑体"/>
          <w:color w:val="auto"/>
          <w:lang w:val="en-US" w:eastAsia="zh-CN"/>
        </w:rPr>
        <w:t>上为北</w:t>
      </w:r>
      <w:r>
        <w:rPr>
          <w:rFonts w:hint="eastAsia" w:ascii="黑体" w:hAnsi="黑体" w:eastAsia="黑体" w:cs="黑体"/>
          <w:color w:val="auto"/>
          <w:lang w:val="en-US" w:eastAsia="zh-CN"/>
        </w:rPr>
        <w:t>）</w:t>
      </w:r>
    </w:p>
    <w:p w14:paraId="2A628EAD">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5ACF76AE">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51DD19D0">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7" name="图片 7" descr="D:/1-小陈/1-上传/87-增城区增江街五星村38.548亩地块                计划书/增城区增江街五星村38.548亩地块/15、其他相关资料/勘探照片/探沟照/19.清理工作照（东-西）.JPG19.清理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小陈/1-上传/87-增城区增江街五星村38.548亩地块                计划书/增城区增江街五星村38.548亩地块/15、其他相关资料/勘探照片/探沟照/19.清理工作照（东-西）.JPG19.清理工作照（东-西）"/>
                    <pic:cNvPicPr>
                      <a:picLocks noChangeAspect="1"/>
                    </pic:cNvPicPr>
                  </pic:nvPicPr>
                  <pic:blipFill>
                    <a:blip r:embed="rId50"/>
                    <a:srcRect t="6" b="6"/>
                    <a:stretch>
                      <a:fillRect/>
                    </a:stretch>
                  </pic:blipFill>
                  <pic:spPr>
                    <a:xfrm>
                      <a:off x="0" y="0"/>
                      <a:ext cx="5238115" cy="3491865"/>
                    </a:xfrm>
                    <a:prstGeom prst="rect">
                      <a:avLst/>
                    </a:prstGeom>
                    <a:ln>
                      <a:noFill/>
                    </a:ln>
                  </pic:spPr>
                </pic:pic>
              </a:graphicData>
            </a:graphic>
          </wp:inline>
        </w:drawing>
      </w:r>
    </w:p>
    <w:p w14:paraId="7F0B2AE2">
      <w:pPr>
        <w:pStyle w:val="5"/>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41</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清理工作照（</w:t>
      </w:r>
      <w:r>
        <w:rPr>
          <w:rFonts w:hint="eastAsia" w:ascii="黑体" w:hAnsi="黑体" w:cs="黑体"/>
          <w:color w:val="auto"/>
          <w:lang w:val="en-US" w:eastAsia="zh-CN"/>
        </w:rPr>
        <w:t>东-西</w:t>
      </w:r>
      <w:r>
        <w:rPr>
          <w:rFonts w:hint="eastAsia" w:ascii="黑体" w:hAnsi="黑体" w:eastAsia="黑体" w:cs="黑体"/>
          <w:color w:val="auto"/>
          <w:lang w:val="en-US" w:eastAsia="zh-CN"/>
        </w:rPr>
        <w:t>）</w:t>
      </w:r>
    </w:p>
    <w:p w14:paraId="1236ED20">
      <w:pPr>
        <w:rPr>
          <w:rFonts w:hint="eastAsia"/>
          <w:color w:val="auto"/>
          <w:lang w:val="en-US" w:eastAsia="zh-CN"/>
        </w:rPr>
      </w:pPr>
      <w:r>
        <w:rPr>
          <w:rFonts w:hint="eastAsia"/>
          <w:color w:val="auto"/>
          <w:lang w:val="en-US" w:eastAsia="zh-CN"/>
        </w:rPr>
        <w:br w:type="page"/>
      </w:r>
    </w:p>
    <w:p w14:paraId="62D46205">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64C8F4F">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8" name="图片 8" descr="D:/1-小陈/1-上传/87-增城区增江街五星村38.548亩地块                计划书/增城区增江街五星村38.548亩地块/15、其他相关资料/勘探照片/探沟照/20.划分地层工作照（西-东）.JPG20.划分地层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1-小陈/1-上传/87-增城区增江街五星村38.548亩地块                计划书/增城区增江街五星村38.548亩地块/15、其他相关资料/勘探照片/探沟照/20.划分地层工作照（西-东）.JPG20.划分地层工作照（西-东）"/>
                    <pic:cNvPicPr>
                      <a:picLocks noChangeAspect="1"/>
                    </pic:cNvPicPr>
                  </pic:nvPicPr>
                  <pic:blipFill>
                    <a:blip r:embed="rId51"/>
                    <a:srcRect l="9" r="9"/>
                    <a:stretch>
                      <a:fillRect/>
                    </a:stretch>
                  </pic:blipFill>
                  <pic:spPr>
                    <a:xfrm>
                      <a:off x="0" y="0"/>
                      <a:ext cx="5237480" cy="3491865"/>
                    </a:xfrm>
                    <a:prstGeom prst="rect">
                      <a:avLst/>
                    </a:prstGeom>
                    <a:ln>
                      <a:noFill/>
                    </a:ln>
                  </pic:spPr>
                </pic:pic>
              </a:graphicData>
            </a:graphic>
          </wp:inline>
        </w:drawing>
      </w:r>
    </w:p>
    <w:p w14:paraId="24554882">
      <w:pPr>
        <w:pStyle w:val="5"/>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42</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划分地层工作照（</w:t>
      </w:r>
      <w:r>
        <w:rPr>
          <w:rFonts w:hint="eastAsia" w:ascii="黑体" w:hAnsi="黑体" w:cs="黑体"/>
          <w:color w:val="auto"/>
          <w:lang w:val="en-US" w:eastAsia="zh-CN"/>
        </w:rPr>
        <w:t>西-东</w:t>
      </w:r>
      <w:r>
        <w:rPr>
          <w:rFonts w:hint="eastAsia" w:ascii="黑体" w:hAnsi="黑体" w:eastAsia="黑体" w:cs="黑体"/>
          <w:color w:val="auto"/>
          <w:lang w:val="en-US" w:eastAsia="zh-CN"/>
        </w:rPr>
        <w:t>）</w:t>
      </w:r>
    </w:p>
    <w:p w14:paraId="578621F7">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3BE569E3">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6DDBC52E">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39" name="图片 39" descr="D:/1-小陈/1-上传/87-增城区增江街五星村38.548亩地块                计划书/增城区增江街五星村38.548亩地块/15、其他相关资料/勘探照片/探沟照/15.TG1底部钻探工作照.jpg15.TG1底部钻探工作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1-小陈/1-上传/87-增城区增江街五星村38.548亩地块                计划书/增城区增江街五星村38.548亩地块/15、其他相关资料/勘探照片/探沟照/15.TG1底部钻探工作照.jpg15.TG1底部钻探工作照"/>
                    <pic:cNvPicPr>
                      <a:picLocks noChangeAspect="1"/>
                    </pic:cNvPicPr>
                  </pic:nvPicPr>
                  <pic:blipFill>
                    <a:blip r:embed="rId52"/>
                    <a:srcRect t="5564" b="5564"/>
                    <a:stretch>
                      <a:fillRect/>
                    </a:stretch>
                  </pic:blipFill>
                  <pic:spPr>
                    <a:xfrm>
                      <a:off x="0" y="0"/>
                      <a:ext cx="5238115" cy="3491865"/>
                    </a:xfrm>
                    <a:prstGeom prst="rect">
                      <a:avLst/>
                    </a:prstGeom>
                    <a:ln>
                      <a:noFill/>
                    </a:ln>
                  </pic:spPr>
                </pic:pic>
              </a:graphicData>
            </a:graphic>
          </wp:inline>
        </w:drawing>
      </w:r>
    </w:p>
    <w:p w14:paraId="33531DA6">
      <w:pPr>
        <w:pStyle w:val="5"/>
        <w:keepNext w:val="0"/>
        <w:keepLines w:val="0"/>
        <w:pageBreakBefore w:val="0"/>
        <w:widowControl/>
        <w:kinsoku/>
        <w:wordWrap/>
        <w:overflowPunct/>
        <w:topLinePunct w:val="0"/>
        <w:autoSpaceDE/>
        <w:autoSpaceDN/>
        <w:bidi w:val="0"/>
        <w:adjustRightInd/>
        <w:spacing w:line="0" w:lineRule="atLeast"/>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43</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底部钻探工作照（</w:t>
      </w:r>
      <w:r>
        <w:rPr>
          <w:rFonts w:hint="eastAsia" w:ascii="黑体" w:hAnsi="黑体" w:cs="黑体"/>
          <w:color w:val="auto"/>
          <w:lang w:val="en-US" w:eastAsia="zh-CN"/>
        </w:rPr>
        <w:t>南-北</w:t>
      </w:r>
      <w:r>
        <w:rPr>
          <w:rFonts w:hint="eastAsia" w:ascii="黑体" w:hAnsi="黑体" w:eastAsia="黑体" w:cs="黑体"/>
          <w:color w:val="auto"/>
          <w:lang w:val="en-US" w:eastAsia="zh-CN"/>
        </w:rPr>
        <w:t>）</w:t>
      </w:r>
    </w:p>
    <w:p w14:paraId="407D8ECD">
      <w:pPr>
        <w:rPr>
          <w:rFonts w:hint="eastAsia" w:ascii="黑体" w:hAnsi="黑体" w:eastAsia="黑体" w:cs="黑体"/>
          <w:color w:val="auto"/>
          <w:lang w:val="en-US" w:eastAsia="zh-CN"/>
        </w:rPr>
      </w:pPr>
      <w:r>
        <w:rPr>
          <w:rFonts w:hint="eastAsia" w:ascii="黑体" w:hAnsi="黑体" w:eastAsia="黑体" w:cs="黑体"/>
          <w:color w:val="auto"/>
          <w:lang w:val="en-US" w:eastAsia="zh-CN"/>
        </w:rPr>
        <w:br w:type="page"/>
      </w:r>
    </w:p>
    <w:p w14:paraId="0CC5E431">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CFEC666">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45735" cy="3491865"/>
            <wp:effectExtent l="0" t="0" r="12065" b="13335"/>
            <wp:docPr id="11" name="图片 11" descr="D:/1-小陈/1-上传/87-增城区增江街五星村38.548亩地块                计划书/增城区增江街五星村38.548亩地块/15、其他相关资料/勘探照片/探沟照/5.TG1正视完工照(南-北).JPG5.TG1正视完工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1-小陈/1-上传/87-增城区增江街五星村38.548亩地块                计划书/增城区增江街五星村38.548亩地块/15、其他相关资料/勘探照片/探沟照/5.TG1正视完工照(南-北).JPG5.TG1正视完工照(南-北)"/>
                    <pic:cNvPicPr>
                      <a:picLocks noChangeAspect="1"/>
                    </pic:cNvPicPr>
                  </pic:nvPicPr>
                  <pic:blipFill>
                    <a:blip r:embed="rId53"/>
                    <a:srcRect t="79" b="79"/>
                    <a:stretch>
                      <a:fillRect/>
                    </a:stretch>
                  </pic:blipFill>
                  <pic:spPr>
                    <a:xfrm>
                      <a:off x="0" y="0"/>
                      <a:ext cx="5245735" cy="3491865"/>
                    </a:xfrm>
                    <a:prstGeom prst="rect">
                      <a:avLst/>
                    </a:prstGeom>
                    <a:ln>
                      <a:noFill/>
                    </a:ln>
                  </pic:spPr>
                </pic:pic>
              </a:graphicData>
            </a:graphic>
          </wp:inline>
        </w:drawing>
      </w:r>
    </w:p>
    <w:p w14:paraId="01D5EB15">
      <w:pPr>
        <w:pStyle w:val="5"/>
        <w:keepNext w:val="0"/>
        <w:keepLines w:val="0"/>
        <w:pageBreakBefore w:val="0"/>
        <w:widowControl/>
        <w:kinsoku/>
        <w:wordWrap/>
        <w:overflowPunct/>
        <w:topLinePunct w:val="0"/>
        <w:autoSpaceDE/>
        <w:autoSpaceDN/>
        <w:bidi w:val="0"/>
        <w:adjustRightInd/>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44</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TG1完工照（</w:t>
      </w:r>
      <w:r>
        <w:rPr>
          <w:rFonts w:hint="eastAsia" w:ascii="黑体" w:hAnsi="黑体" w:cs="黑体"/>
          <w:color w:val="auto"/>
          <w:lang w:val="en-US" w:eastAsia="zh-CN"/>
        </w:rPr>
        <w:t>上为北</w:t>
      </w:r>
      <w:r>
        <w:rPr>
          <w:rFonts w:hint="eastAsia" w:ascii="黑体" w:hAnsi="黑体" w:eastAsia="黑体" w:cs="黑体"/>
          <w:color w:val="auto"/>
          <w:lang w:val="en-US" w:eastAsia="zh-CN"/>
        </w:rPr>
        <w:t>）</w:t>
      </w:r>
    </w:p>
    <w:p w14:paraId="256A6010">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8BB6075">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C3EFB32">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5241925" cy="3491865"/>
            <wp:effectExtent l="0" t="0" r="15875" b="13335"/>
            <wp:docPr id="16" name="图片 16" descr="D:/1-小陈/1-上传/87-增城区增江街五星村38.548亩地块                计划书/增城区增江街五星村38.548亩地块/15、其他相关资料/勘探照片/探沟照/9.北壁（南-北）.jpg9.北壁（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小陈/1-上传/87-增城区增江街五星村38.548亩地块                计划书/增城区增江街五星村38.548亩地块/15、其他相关资料/勘探照片/探沟照/9.北壁（南-北）.jpg9.北壁（南-北）"/>
                    <pic:cNvPicPr>
                      <a:picLocks noChangeAspect="1"/>
                    </pic:cNvPicPr>
                  </pic:nvPicPr>
                  <pic:blipFill>
                    <a:blip r:embed="rId54"/>
                    <a:srcRect t="5597" b="5597"/>
                    <a:stretch>
                      <a:fillRect/>
                    </a:stretch>
                  </pic:blipFill>
                  <pic:spPr>
                    <a:xfrm>
                      <a:off x="0" y="0"/>
                      <a:ext cx="5241925" cy="3491865"/>
                    </a:xfrm>
                    <a:prstGeom prst="rect">
                      <a:avLst/>
                    </a:prstGeom>
                    <a:ln>
                      <a:noFill/>
                    </a:ln>
                  </pic:spPr>
                </pic:pic>
              </a:graphicData>
            </a:graphic>
          </wp:inline>
        </w:drawing>
      </w:r>
    </w:p>
    <w:p w14:paraId="7D12702C">
      <w:pPr>
        <w:pStyle w:val="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45</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TG1北壁（南-北）</w:t>
      </w:r>
    </w:p>
    <w:p w14:paraId="5B5AF229">
      <w:pPr>
        <w:rPr>
          <w:rFonts w:hint="eastAsia"/>
          <w:color w:val="auto"/>
          <w:lang w:val="en-US" w:eastAsia="zh-CN"/>
        </w:rPr>
      </w:pPr>
      <w:r>
        <w:rPr>
          <w:rFonts w:hint="eastAsia"/>
          <w:color w:val="auto"/>
          <w:lang w:val="en-US" w:eastAsia="zh-CN"/>
        </w:rPr>
        <w:br w:type="page"/>
      </w:r>
    </w:p>
    <w:p w14:paraId="1FB1136C">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625D5D7A">
      <w:pPr>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color w:val="auto"/>
          <w:lang w:val="en-US" w:eastAsia="zh-CN"/>
        </w:rPr>
      </w:pPr>
      <w:r>
        <w:rPr>
          <w:rFonts w:hint="eastAsia" w:ascii="黑体" w:hAnsi="黑体" w:eastAsia="黑体" w:cs="黑体"/>
          <w:color w:val="auto"/>
          <w:lang w:val="en-US" w:eastAsia="zh-CN"/>
        </w:rPr>
        <w:drawing>
          <wp:inline distT="0" distB="0" distL="114300" distR="114300">
            <wp:extent cx="5237480" cy="3491865"/>
            <wp:effectExtent l="0" t="0" r="1270" b="13335"/>
            <wp:docPr id="12" name="图片 12" descr="D:/1-小陈/1-上传/87-增城区增江街五星村38.548亩地块                计划书/增城区增江街五星村38.548亩地块/15、其他相关资料/勘探照片/探沟照/10.东壁（西-东）.jpg10.东壁（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1-小陈/1-上传/87-增城区增江街五星村38.548亩地块                计划书/增城区增江街五星村38.548亩地块/15、其他相关资料/勘探照片/探沟照/10.东壁（西-东）.jpg10.东壁（西-东）"/>
                    <pic:cNvPicPr>
                      <a:picLocks noChangeAspect="1"/>
                    </pic:cNvPicPr>
                  </pic:nvPicPr>
                  <pic:blipFill>
                    <a:blip r:embed="rId55"/>
                    <a:srcRect t="5559" b="5559"/>
                    <a:stretch>
                      <a:fillRect/>
                    </a:stretch>
                  </pic:blipFill>
                  <pic:spPr>
                    <a:xfrm>
                      <a:off x="0" y="0"/>
                      <a:ext cx="5237480" cy="3491865"/>
                    </a:xfrm>
                    <a:prstGeom prst="rect">
                      <a:avLst/>
                    </a:prstGeom>
                    <a:ln>
                      <a:noFill/>
                    </a:ln>
                  </pic:spPr>
                </pic:pic>
              </a:graphicData>
            </a:graphic>
          </wp:inline>
        </w:drawing>
      </w:r>
    </w:p>
    <w:p w14:paraId="5F31427E">
      <w:pPr>
        <w:pStyle w:val="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46</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TG1东壁</w:t>
      </w:r>
      <w:r>
        <w:rPr>
          <w:rFonts w:hint="eastAsia" w:ascii="黑体" w:hAnsi="黑体" w:cs="黑体"/>
          <w:color w:val="auto"/>
          <w:lang w:val="en-US" w:eastAsia="zh-CN"/>
        </w:rPr>
        <w:t>（西-东）</w:t>
      </w:r>
    </w:p>
    <w:p w14:paraId="6DB9CE15">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0C29B86D">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0E379755">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color w:val="auto"/>
          <w:lang w:val="en-US" w:eastAsia="zh-CN"/>
        </w:rPr>
      </w:pPr>
      <w:r>
        <w:rPr>
          <w:rFonts w:hint="eastAsia" w:ascii="黑体" w:hAnsi="黑体" w:eastAsia="黑体" w:cs="黑体"/>
          <w:color w:val="auto"/>
          <w:lang w:val="en-US" w:eastAsia="zh-CN"/>
        </w:rPr>
        <w:drawing>
          <wp:inline distT="0" distB="0" distL="114300" distR="114300">
            <wp:extent cx="5238115" cy="3491865"/>
            <wp:effectExtent l="0" t="0" r="635" b="13335"/>
            <wp:docPr id="13" name="图片 13" descr="D:/1-小陈/1-上传/87-增城区增江街五星村38.548亩地块                计划书/增城区增江街五星村38.548亩地块/15、其他相关资料/勘探照片/探沟照/11.南壁（北-南）.jpg11.南壁（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小陈/1-上传/87-增城区增江街五星村38.548亩地块                计划书/增城区增江街五星村38.548亩地块/15、其他相关资料/勘探照片/探沟照/11.南壁（北-南）.jpg11.南壁（北-南）"/>
                    <pic:cNvPicPr>
                      <a:picLocks noChangeAspect="1"/>
                    </pic:cNvPicPr>
                  </pic:nvPicPr>
                  <pic:blipFill>
                    <a:blip r:embed="rId56"/>
                    <a:srcRect t="5564" b="5564"/>
                    <a:stretch>
                      <a:fillRect/>
                    </a:stretch>
                  </pic:blipFill>
                  <pic:spPr>
                    <a:xfrm>
                      <a:off x="0" y="0"/>
                      <a:ext cx="5238115" cy="3491865"/>
                    </a:xfrm>
                    <a:prstGeom prst="rect">
                      <a:avLst/>
                    </a:prstGeom>
                    <a:ln>
                      <a:noFill/>
                    </a:ln>
                  </pic:spPr>
                </pic:pic>
              </a:graphicData>
            </a:graphic>
          </wp:inline>
        </w:drawing>
      </w:r>
    </w:p>
    <w:p w14:paraId="131659FE">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47</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TG1南壁</w:t>
      </w:r>
      <w:r>
        <w:rPr>
          <w:rFonts w:hint="eastAsia" w:ascii="黑体" w:hAnsi="黑体" w:cs="黑体"/>
          <w:color w:val="auto"/>
          <w:highlight w:val="none"/>
          <w:lang w:val="en-US" w:eastAsia="zh-CN"/>
        </w:rPr>
        <w:t>（北-南）</w:t>
      </w:r>
    </w:p>
    <w:p w14:paraId="3FE84808">
      <w:pPr>
        <w:rPr>
          <w:rFonts w:hint="eastAsia"/>
          <w:color w:val="auto"/>
          <w:lang w:val="en-US" w:eastAsia="zh-CN"/>
        </w:rPr>
      </w:pPr>
      <w:r>
        <w:rPr>
          <w:rFonts w:hint="eastAsia"/>
          <w:color w:val="auto"/>
          <w:lang w:val="en-US" w:eastAsia="zh-CN"/>
        </w:rPr>
        <w:br w:type="page"/>
      </w:r>
    </w:p>
    <w:p w14:paraId="22EB1EA3">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03BB7280">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color w:val="auto"/>
          <w:lang w:eastAsia="zh-CN"/>
        </w:rPr>
        <w:drawing>
          <wp:inline distT="0" distB="0" distL="114300" distR="114300">
            <wp:extent cx="5237480" cy="3491865"/>
            <wp:effectExtent l="0" t="0" r="1270" b="13335"/>
            <wp:docPr id="15" name="图片 15" descr="D:/1-小陈/1-上传/87-增城区增江街五星村38.548亩地块                计划书/增城区增江街五星村38.548亩地块/15、其他相关资料/勘探照片/探沟照/12.西壁（东-西）.jpg12.西壁（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1-小陈/1-上传/87-增城区增江街五星村38.548亩地块                计划书/增城区增江街五星村38.548亩地块/15、其他相关资料/勘探照片/探沟照/12.西壁（东-西）.jpg12.西壁（东-西）"/>
                    <pic:cNvPicPr>
                      <a:picLocks noChangeAspect="1"/>
                    </pic:cNvPicPr>
                  </pic:nvPicPr>
                  <pic:blipFill>
                    <a:blip r:embed="rId57">
                      <a:lum bright="-6000"/>
                    </a:blip>
                    <a:srcRect t="5559" b="5559"/>
                    <a:stretch>
                      <a:fillRect/>
                    </a:stretch>
                  </pic:blipFill>
                  <pic:spPr>
                    <a:xfrm>
                      <a:off x="0" y="0"/>
                      <a:ext cx="5237480" cy="3491865"/>
                    </a:xfrm>
                    <a:prstGeom prst="rect">
                      <a:avLst/>
                    </a:prstGeom>
                    <a:ln>
                      <a:noFill/>
                    </a:ln>
                  </pic:spPr>
                </pic:pic>
              </a:graphicData>
            </a:graphic>
          </wp:inline>
        </w:drawing>
      </w:r>
    </w:p>
    <w:p w14:paraId="4A7F9F24">
      <w:pPr>
        <w:pStyle w:val="5"/>
        <w:keepNext w:val="0"/>
        <w:keepLines w:val="0"/>
        <w:pageBreakBefore w:val="0"/>
        <w:widowControl/>
        <w:kinsoku/>
        <w:wordWrap/>
        <w:overflowPunct/>
        <w:topLinePunct w:val="0"/>
        <w:autoSpaceDE/>
        <w:autoSpaceDN/>
        <w:bidi w:val="0"/>
        <w:adjustRightInd/>
        <w:snapToGrid w:val="0"/>
        <w:spacing w:line="0" w:lineRule="atLeast"/>
        <w:jc w:val="center"/>
        <w:textAlignment w:val="auto"/>
        <w:rPr>
          <w:rFonts w:hint="eastAsia" w:ascii="黑体" w:hAnsi="黑体" w:eastAsia="黑体" w:cs="黑体"/>
          <w:color w:val="auto"/>
          <w:lang w:val="en-US" w:eastAsia="zh-CN"/>
        </w:rPr>
      </w:pPr>
      <w:r>
        <w:rPr>
          <w:rFonts w:hint="eastAsia" w:ascii="黑体" w:hAnsi="黑体" w:eastAsia="黑体" w:cs="黑体"/>
          <w:color w:val="auto"/>
        </w:rPr>
        <w:t xml:space="preserve">图 </w:t>
      </w:r>
      <w:r>
        <w:rPr>
          <w:rFonts w:hint="eastAsia" w:ascii="黑体" w:hAnsi="黑体" w:eastAsia="黑体" w:cs="黑体"/>
          <w:color w:val="auto"/>
        </w:rPr>
        <w:fldChar w:fldCharType="begin"/>
      </w:r>
      <w:r>
        <w:rPr>
          <w:rFonts w:hint="eastAsia" w:ascii="黑体" w:hAnsi="黑体" w:eastAsia="黑体" w:cs="黑体"/>
          <w:color w:val="auto"/>
        </w:rPr>
        <w:instrText xml:space="preserve"> SEQ 图 \* ARABIC </w:instrText>
      </w:r>
      <w:r>
        <w:rPr>
          <w:rFonts w:hint="eastAsia" w:ascii="黑体" w:hAnsi="黑体" w:eastAsia="黑体" w:cs="黑体"/>
          <w:color w:val="auto"/>
        </w:rPr>
        <w:fldChar w:fldCharType="separate"/>
      </w:r>
      <w:r>
        <w:rPr>
          <w:rFonts w:hint="eastAsia" w:ascii="黑体" w:hAnsi="黑体" w:eastAsia="黑体" w:cs="黑体"/>
          <w:color w:val="auto"/>
        </w:rPr>
        <w:t>48</w:t>
      </w:r>
      <w:r>
        <w:rPr>
          <w:rFonts w:hint="eastAsia" w:ascii="黑体" w:hAnsi="黑体" w:eastAsia="黑体" w:cs="黑体"/>
          <w:color w:val="auto"/>
        </w:rPr>
        <w:fldChar w:fldCharType="end"/>
      </w:r>
      <w:r>
        <w:rPr>
          <w:rFonts w:hint="eastAsia" w:ascii="黑体" w:hAnsi="黑体" w:eastAsia="黑体" w:cs="黑体"/>
          <w:color w:val="auto"/>
          <w:lang w:val="en-US" w:eastAsia="zh-CN"/>
        </w:rPr>
        <w:t xml:space="preserve">  TG1西壁（东-西）</w:t>
      </w:r>
    </w:p>
    <w:p w14:paraId="6B66B664">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79D94194">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488AF631">
      <w:pPr>
        <w:keepNext w:val="0"/>
        <w:keepLines w:val="0"/>
        <w:pageBreakBefore w:val="0"/>
        <w:widowControl/>
        <w:kinsoku/>
        <w:wordWrap/>
        <w:overflowPunct/>
        <w:topLinePunct w:val="0"/>
        <w:autoSpaceDE/>
        <w:autoSpaceDN/>
        <w:bidi w:val="0"/>
        <w:adjustRightInd/>
        <w:spacing w:line="0" w:lineRule="atLeast"/>
        <w:ind w:left="0" w:leftChars="0" w:firstLine="0" w:firstLineChars="0"/>
        <w:jc w:val="center"/>
        <w:textAlignment w:val="auto"/>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3559175" cy="5219700"/>
            <wp:effectExtent l="0" t="0" r="0" b="3175"/>
            <wp:docPr id="6" name="图片 6" descr="13.TG1土样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TG1土样照"/>
                    <pic:cNvPicPr>
                      <a:picLocks noChangeAspect="1"/>
                    </pic:cNvPicPr>
                  </pic:nvPicPr>
                  <pic:blipFill>
                    <a:blip r:embed="rId58"/>
                    <a:srcRect r="12056" b="3248"/>
                    <a:stretch>
                      <a:fillRect/>
                    </a:stretch>
                  </pic:blipFill>
                  <pic:spPr>
                    <a:xfrm rot="16200000">
                      <a:off x="0" y="0"/>
                      <a:ext cx="3559175" cy="5219700"/>
                    </a:xfrm>
                    <a:prstGeom prst="rect">
                      <a:avLst/>
                    </a:prstGeom>
                  </pic:spPr>
                </pic:pic>
              </a:graphicData>
            </a:graphic>
          </wp:inline>
        </w:drawing>
      </w:r>
    </w:p>
    <w:p w14:paraId="6BFE3B12">
      <w:pPr>
        <w:pStyle w:val="17"/>
        <w:keepNext w:val="0"/>
        <w:keepLines w:val="0"/>
        <w:pageBreakBefore w:val="0"/>
        <w:widowControl/>
        <w:kinsoku/>
        <w:wordWrap/>
        <w:overflowPunct/>
        <w:topLinePunct w:val="0"/>
        <w:autoSpaceDE/>
        <w:autoSpaceDN/>
        <w:bidi w:val="0"/>
        <w:adjustRightInd/>
        <w:snapToGrid/>
        <w:spacing w:line="0" w:lineRule="atLeast"/>
        <w:ind w:left="0" w:leftChars="0" w:firstLine="0" w:firstLineChars="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49</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TG1底部探孔土样（标杆长1米，土样由左往右）</w:t>
      </w:r>
    </w:p>
    <w:p w14:paraId="117F406B">
      <w:pPr>
        <w:rPr>
          <w:rFonts w:hint="eastAsia"/>
          <w:color w:val="auto"/>
          <w:lang w:val="en-US" w:eastAsia="zh-CN"/>
        </w:rPr>
      </w:pPr>
      <w:r>
        <w:rPr>
          <w:rFonts w:hint="eastAsia"/>
          <w:color w:val="auto"/>
          <w:lang w:val="en-US" w:eastAsia="zh-CN"/>
        </w:rPr>
        <w:br w:type="page"/>
      </w:r>
    </w:p>
    <w:p w14:paraId="117E0F93">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00677B85">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color w:val="auto"/>
          <w:lang w:val="en-US" w:eastAsia="zh-CN"/>
        </w:rPr>
      </w:pPr>
    </w:p>
    <w:p w14:paraId="271F49C2">
      <w:pPr>
        <w:pStyle w:val="5"/>
        <w:snapToGrid w:val="0"/>
        <w:jc w:val="center"/>
        <w:rPr>
          <w:rFonts w:hint="eastAsia" w:ascii="黑体" w:hAnsi="黑体" w:eastAsia="黑体" w:cs="黑体"/>
          <w:color w:val="auto"/>
          <w:lang w:val="en-US" w:eastAsia="zh-CN"/>
        </w:rPr>
      </w:pPr>
      <w:r>
        <w:rPr>
          <w:rFonts w:hint="eastAsia" w:ascii="黑体" w:hAnsi="黑体" w:eastAsia="黑体" w:cs="黑体"/>
          <w:color w:val="auto"/>
          <w:lang w:val="en-US" w:eastAsia="zh-CN"/>
        </w:rPr>
        <w:drawing>
          <wp:inline distT="0" distB="0" distL="114300" distR="114300">
            <wp:extent cx="7762240" cy="5271135"/>
            <wp:effectExtent l="9525" t="10160" r="15240" b="19050"/>
            <wp:docPr id="21" name="图片 21" descr="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G1"/>
                    <pic:cNvPicPr>
                      <a:picLocks noChangeAspect="1"/>
                    </pic:cNvPicPr>
                  </pic:nvPicPr>
                  <pic:blipFill>
                    <a:blip r:embed="rId59"/>
                    <a:stretch>
                      <a:fillRect/>
                    </a:stretch>
                  </pic:blipFill>
                  <pic:spPr>
                    <a:xfrm rot="16200000">
                      <a:off x="0" y="0"/>
                      <a:ext cx="7762240" cy="5271135"/>
                    </a:xfrm>
                    <a:prstGeom prst="rect">
                      <a:avLst/>
                    </a:prstGeom>
                    <a:ln>
                      <a:solidFill>
                        <a:schemeClr val="tx1"/>
                      </a:solidFill>
                    </a:ln>
                  </pic:spPr>
                </pic:pic>
              </a:graphicData>
            </a:graphic>
          </wp:inline>
        </w:drawing>
      </w:r>
    </w:p>
    <w:p w14:paraId="5F48BF47">
      <w:pPr>
        <w:pStyle w:val="5"/>
        <w:snapToGrid w:val="0"/>
        <w:jc w:val="center"/>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 xml:space="preserve">图 </w:t>
      </w:r>
      <w:r>
        <w:rPr>
          <w:rFonts w:hint="eastAsia" w:ascii="黑体" w:hAnsi="黑体" w:eastAsia="黑体" w:cs="黑体"/>
          <w:color w:val="auto"/>
          <w:highlight w:val="none"/>
        </w:rPr>
        <w:fldChar w:fldCharType="begin"/>
      </w:r>
      <w:r>
        <w:rPr>
          <w:rFonts w:hint="eastAsia" w:ascii="黑体" w:hAnsi="黑体" w:eastAsia="黑体" w:cs="黑体"/>
          <w:color w:val="auto"/>
          <w:highlight w:val="none"/>
        </w:rPr>
        <w:instrText xml:space="preserve"> SEQ 图 \* ARABIC </w:instrText>
      </w:r>
      <w:r>
        <w:rPr>
          <w:rFonts w:hint="eastAsia" w:ascii="黑体" w:hAnsi="黑体" w:eastAsia="黑体" w:cs="黑体"/>
          <w:color w:val="auto"/>
          <w:highlight w:val="none"/>
        </w:rPr>
        <w:fldChar w:fldCharType="separate"/>
      </w:r>
      <w:r>
        <w:rPr>
          <w:rFonts w:hint="eastAsia" w:ascii="黑体" w:hAnsi="黑体" w:eastAsia="黑体" w:cs="黑体"/>
          <w:color w:val="auto"/>
          <w:highlight w:val="none"/>
        </w:rPr>
        <w:t>50</w:t>
      </w:r>
      <w:r>
        <w:rPr>
          <w:rFonts w:hint="eastAsia" w:ascii="黑体" w:hAnsi="黑体" w:eastAsia="黑体" w:cs="黑体"/>
          <w:color w:val="auto"/>
          <w:highlight w:val="none"/>
        </w:rPr>
        <w:fldChar w:fldCharType="end"/>
      </w:r>
      <w:r>
        <w:rPr>
          <w:rFonts w:hint="eastAsia" w:ascii="黑体" w:hAnsi="黑体" w:eastAsia="黑体" w:cs="黑体"/>
          <w:color w:val="auto"/>
          <w:highlight w:val="none"/>
          <w:lang w:val="en-US" w:eastAsia="zh-CN"/>
        </w:rPr>
        <w:t xml:space="preserve">  TG1平剖面图</w:t>
      </w:r>
    </w:p>
    <w:p w14:paraId="3579E4A7">
      <w:pPr>
        <w:rPr>
          <w:rFonts w:hint="eastAsia" w:ascii="黑体" w:hAnsi="黑体" w:eastAsia="黑体" w:cs="黑体"/>
          <w:color w:val="auto"/>
          <w:highlight w:val="none"/>
          <w:lang w:val="en-US" w:eastAsia="zh-CN"/>
        </w:rPr>
      </w:pPr>
    </w:p>
    <w:p w14:paraId="72A06429">
      <w:pPr>
        <w:pStyle w:val="18"/>
        <w:rPr>
          <w:rFonts w:hint="eastAsia"/>
          <w:color w:val="auto"/>
          <w:lang w:val="en-US"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06A0EBE">
      <w:pPr>
        <w:pStyle w:val="3"/>
        <w:ind w:firstLine="560" w:firstLineChars="200"/>
        <w:rPr>
          <w:rFonts w:hint="default"/>
          <w:b w:val="0"/>
          <w:bCs/>
          <w:color w:val="auto"/>
          <w:highlight w:val="none"/>
          <w:lang w:val="en-US" w:eastAsia="zh-CN"/>
        </w:rPr>
      </w:pPr>
      <w:bookmarkStart w:id="85" w:name="_Toc26906"/>
      <w:bookmarkStart w:id="86" w:name="_Toc14399"/>
      <w:bookmarkStart w:id="87" w:name="_Toc9738"/>
      <w:r>
        <w:rPr>
          <w:rFonts w:hint="eastAsia"/>
          <w:b w:val="0"/>
          <w:bCs/>
          <w:color w:val="auto"/>
          <w:highlight w:val="none"/>
          <w:lang w:val="en-US" w:eastAsia="zh-CN"/>
        </w:rPr>
        <w:t>（六）剖面</w:t>
      </w:r>
      <w:bookmarkEnd w:id="85"/>
      <w:bookmarkEnd w:id="86"/>
      <w:r>
        <w:rPr>
          <w:rFonts w:hint="eastAsia"/>
          <w:b w:val="0"/>
          <w:bCs/>
          <w:color w:val="auto"/>
          <w:highlight w:val="none"/>
          <w:lang w:val="en-US" w:eastAsia="zh-CN"/>
        </w:rPr>
        <w:t>勘探</w:t>
      </w:r>
      <w:bookmarkEnd w:id="87"/>
    </w:p>
    <w:p w14:paraId="5C7C9995">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b w:val="0"/>
          <w:bCs w:val="0"/>
          <w:color w:val="auto"/>
          <w:sz w:val="24"/>
          <w:szCs w:val="24"/>
          <w:lang w:val="en-US" w:eastAsia="zh-CN"/>
        </w:rPr>
        <w:t>根据项目地块地形情况，我们</w:t>
      </w:r>
      <w:r>
        <w:rPr>
          <w:rFonts w:hint="eastAsia" w:ascii="宋体" w:hAnsi="宋体" w:eastAsia="宋体" w:cs="宋体"/>
          <w:color w:val="auto"/>
          <w:sz w:val="24"/>
          <w:szCs w:val="24"/>
          <w:lang w:val="en-US" w:eastAsia="zh-CN"/>
        </w:rPr>
        <w:t>在地块内</w:t>
      </w:r>
      <w:r>
        <w:rPr>
          <w:rFonts w:hint="eastAsia" w:ascii="宋体" w:hAnsi="宋体" w:eastAsia="宋体" w:cs="宋体"/>
          <w:b w:val="0"/>
          <w:bCs w:val="0"/>
          <w:color w:val="auto"/>
          <w:sz w:val="24"/>
          <w:szCs w:val="24"/>
          <w:lang w:val="en-US" w:eastAsia="zh-CN"/>
        </w:rPr>
        <w:t>修整</w:t>
      </w:r>
      <w:r>
        <w:rPr>
          <w:rFonts w:hint="eastAsia" w:ascii="宋体" w:hAnsi="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处剖面进行地层分析，编号为PM1，</w:t>
      </w:r>
      <w:r>
        <w:rPr>
          <w:rFonts w:hint="eastAsia" w:ascii="宋体" w:hAnsi="宋体" w:eastAsia="宋体" w:cs="宋体"/>
          <w:color w:val="auto"/>
          <w:sz w:val="24"/>
          <w:szCs w:val="24"/>
          <w:lang w:eastAsia="zh-CN"/>
        </w:rPr>
        <w:t>具体情况介绍如下：</w:t>
      </w:r>
    </w:p>
    <w:p w14:paraId="4210FF52">
      <w:pPr>
        <w:snapToGrid w:val="0"/>
        <w:ind w:firstLine="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drawing>
          <wp:inline distT="0" distB="0" distL="114300" distR="114300">
            <wp:extent cx="5260340" cy="3692525"/>
            <wp:effectExtent l="0" t="0" r="16510" b="3175"/>
            <wp:docPr id="76" name="图片 76" descr="D:/1-小陈/1-上传/87-增城区增江街五星村38.548亩地块                计划书/增城区增江街五星村38.548亩地块/15、其他相关资料/其他/剖面分布示意图.jpg剖面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1-小陈/1-上传/87-增城区增江街五星村38.548亩地块                计划书/增城区增江街五星村38.548亩地块/15、其他相关资料/其他/剖面分布示意图.jpg剖面分布示意图"/>
                    <pic:cNvPicPr>
                      <a:picLocks noChangeAspect="1"/>
                    </pic:cNvPicPr>
                  </pic:nvPicPr>
                  <pic:blipFill>
                    <a:blip r:embed="rId60"/>
                    <a:srcRect l="232" r="232"/>
                    <a:stretch>
                      <a:fillRect/>
                    </a:stretch>
                  </pic:blipFill>
                  <pic:spPr>
                    <a:xfrm>
                      <a:off x="0" y="0"/>
                      <a:ext cx="5260340" cy="3692525"/>
                    </a:xfrm>
                    <a:prstGeom prst="rect">
                      <a:avLst/>
                    </a:prstGeom>
                  </pic:spPr>
                </pic:pic>
              </a:graphicData>
            </a:graphic>
          </wp:inline>
        </w:drawing>
      </w:r>
    </w:p>
    <w:p w14:paraId="58F212A2">
      <w:pPr>
        <w:pStyle w:val="5"/>
        <w:spacing w:line="0" w:lineRule="atLeast"/>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 xml:space="preserve">图 </w:t>
      </w:r>
      <w:r>
        <w:rPr>
          <w:rFonts w:hint="eastAsia" w:ascii="黑体" w:hAnsi="黑体" w:eastAsia="黑体" w:cs="黑体"/>
          <w:color w:val="auto"/>
          <w:sz w:val="21"/>
          <w:szCs w:val="21"/>
          <w:lang w:val="en-US" w:eastAsia="zh-CN"/>
        </w:rPr>
        <w:fldChar w:fldCharType="begin"/>
      </w:r>
      <w:r>
        <w:rPr>
          <w:rFonts w:hint="eastAsia" w:ascii="黑体" w:hAnsi="黑体" w:eastAsia="黑体" w:cs="黑体"/>
          <w:color w:val="auto"/>
          <w:sz w:val="21"/>
          <w:szCs w:val="21"/>
          <w:lang w:val="en-US" w:eastAsia="zh-CN"/>
        </w:rPr>
        <w:instrText xml:space="preserve"> SEQ 图 \* ARABIC </w:instrText>
      </w:r>
      <w:r>
        <w:rPr>
          <w:rFonts w:hint="eastAsia" w:ascii="黑体" w:hAnsi="黑体" w:eastAsia="黑体" w:cs="黑体"/>
          <w:color w:val="auto"/>
          <w:sz w:val="21"/>
          <w:szCs w:val="21"/>
          <w:lang w:val="en-US" w:eastAsia="zh-CN"/>
        </w:rPr>
        <w:fldChar w:fldCharType="separate"/>
      </w:r>
      <w:r>
        <w:rPr>
          <w:rFonts w:hint="eastAsia" w:ascii="黑体" w:hAnsi="黑体" w:eastAsia="黑体" w:cs="黑体"/>
          <w:color w:val="auto"/>
          <w:sz w:val="21"/>
          <w:szCs w:val="21"/>
          <w:lang w:val="en-US" w:eastAsia="zh-CN"/>
        </w:rPr>
        <w:t>51</w:t>
      </w:r>
      <w:r>
        <w:rPr>
          <w:rFonts w:hint="eastAsia" w:ascii="黑体" w:hAnsi="黑体" w:eastAsia="黑体" w:cs="黑体"/>
          <w:color w:val="auto"/>
          <w:sz w:val="21"/>
          <w:szCs w:val="21"/>
          <w:lang w:val="en-US" w:eastAsia="zh-CN"/>
        </w:rPr>
        <w:fldChar w:fldCharType="end"/>
      </w:r>
      <w:r>
        <w:rPr>
          <w:rFonts w:hint="eastAsia" w:ascii="黑体" w:hAnsi="黑体" w:eastAsia="黑体" w:cs="黑体"/>
          <w:color w:val="auto"/>
          <w:sz w:val="21"/>
          <w:szCs w:val="21"/>
          <w:lang w:val="en-US" w:eastAsia="zh-CN"/>
        </w:rPr>
        <w:t xml:space="preserve">  </w:t>
      </w:r>
      <w:r>
        <w:rPr>
          <w:rFonts w:hint="eastAsia" w:ascii="黑体" w:hAnsi="黑体" w:cs="黑体"/>
          <w:color w:val="auto"/>
          <w:sz w:val="21"/>
          <w:szCs w:val="21"/>
          <w:lang w:val="en-US" w:eastAsia="zh-CN"/>
        </w:rPr>
        <w:t>项目地块内剖面</w:t>
      </w:r>
      <w:r>
        <w:rPr>
          <w:rFonts w:hint="eastAsia" w:ascii="黑体" w:hAnsi="黑体" w:eastAsia="黑体" w:cs="黑体"/>
          <w:color w:val="auto"/>
          <w:sz w:val="21"/>
          <w:szCs w:val="21"/>
          <w:lang w:val="en-US" w:eastAsia="zh-CN"/>
        </w:rPr>
        <w:t>分布</w:t>
      </w:r>
      <w:r>
        <w:rPr>
          <w:rFonts w:hint="eastAsia" w:ascii="黑体" w:hAnsi="黑体" w:cs="黑体"/>
          <w:color w:val="auto"/>
          <w:sz w:val="21"/>
          <w:szCs w:val="21"/>
          <w:lang w:val="en-US" w:eastAsia="zh-CN"/>
        </w:rPr>
        <w:t>示意</w:t>
      </w:r>
      <w:r>
        <w:rPr>
          <w:rFonts w:hint="eastAsia" w:ascii="黑体" w:hAnsi="黑体" w:eastAsia="黑体" w:cs="黑体"/>
          <w:color w:val="auto"/>
          <w:sz w:val="21"/>
          <w:szCs w:val="21"/>
          <w:lang w:val="en-US" w:eastAsia="zh-CN"/>
        </w:rPr>
        <w:t>图</w:t>
      </w:r>
      <w:r>
        <w:rPr>
          <w:rFonts w:hint="eastAsia" w:ascii="黑体" w:hAnsi="黑体" w:cs="黑体"/>
          <w:color w:val="auto"/>
          <w:sz w:val="21"/>
          <w:szCs w:val="21"/>
          <w:lang w:val="en-US" w:eastAsia="zh-CN"/>
        </w:rPr>
        <w:t>（绿色标记点）</w:t>
      </w:r>
    </w:p>
    <w:p w14:paraId="5B19F111">
      <w:pPr>
        <w:rPr>
          <w:rFonts w:hint="eastAsia"/>
          <w:color w:val="auto"/>
          <w:lang w:val="en-US" w:eastAsia="zh-CN"/>
        </w:rPr>
      </w:pPr>
    </w:p>
    <w:p w14:paraId="7D3B08BD">
      <w:pPr>
        <w:keepNext w:val="0"/>
        <w:keepLines w:val="0"/>
        <w:pageBreakBefore w:val="0"/>
        <w:widowControl/>
        <w:kinsoku/>
        <w:wordWrap/>
        <w:overflowPunct/>
        <w:topLinePunct w:val="0"/>
        <w:autoSpaceDE/>
        <w:autoSpaceDN/>
        <w:bidi w:val="0"/>
        <w:adjustRightInd/>
        <w:snapToGrid w:val="0"/>
        <w:spacing w:line="0" w:lineRule="atLeast"/>
        <w:ind w:firstLine="0"/>
        <w:jc w:val="center"/>
        <w:textAlignment w:val="auto"/>
        <w:rPr>
          <w:rFonts w:hint="eastAsia" w:ascii="黑体" w:hAnsi="黑体" w:eastAsia="黑体" w:cs="黑体"/>
          <w:color w:val="auto"/>
          <w:sz w:val="21"/>
          <w:szCs w:val="21"/>
          <w:lang w:eastAsia="zh-CN"/>
        </w:rPr>
      </w:pPr>
      <w:r>
        <w:rPr>
          <w:rFonts w:hint="eastAsia" w:ascii="黑体" w:hAnsi="黑体" w:eastAsia="黑体" w:cs="黑体"/>
          <w:color w:val="auto"/>
          <w:sz w:val="21"/>
          <w:szCs w:val="21"/>
        </w:rPr>
        <w:drawing>
          <wp:inline distT="0" distB="0" distL="114300" distR="114300">
            <wp:extent cx="5227955" cy="3528060"/>
            <wp:effectExtent l="0" t="0" r="10795" b="15240"/>
            <wp:docPr id="77" name="图片 77" descr="D:/1-小陈/1-上传/87-增城区增江街五星村38.548亩地块                计划书/增城区增江街五星村38.548亩地块/15、其他相关资料/勘探照片/剖面照/28.刮面工作照（西南-东北）.JPG28.刮面工作照（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1-小陈/1-上传/87-增城区增江街五星村38.548亩地块                计划书/增城区增江街五星村38.548亩地块/15、其他相关资料/勘探照片/剖面照/28.刮面工作照（西南-东北）.JPG28.刮面工作照（西南-东北）"/>
                    <pic:cNvPicPr>
                      <a:picLocks noChangeAspect="1"/>
                    </pic:cNvPicPr>
                  </pic:nvPicPr>
                  <pic:blipFill>
                    <a:blip r:embed="rId61"/>
                    <a:srcRect l="612" r="612"/>
                    <a:stretch>
                      <a:fillRect/>
                    </a:stretch>
                  </pic:blipFill>
                  <pic:spPr>
                    <a:xfrm>
                      <a:off x="0" y="0"/>
                      <a:ext cx="5227955" cy="3528060"/>
                    </a:xfrm>
                    <a:prstGeom prst="rect">
                      <a:avLst/>
                    </a:prstGeom>
                  </pic:spPr>
                </pic:pic>
              </a:graphicData>
            </a:graphic>
          </wp:inline>
        </w:drawing>
      </w: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52</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剖面工作照（西南-东北）</w:t>
      </w:r>
    </w:p>
    <w:p w14:paraId="0BCF1AD0">
      <w:pPr>
        <w:rPr>
          <w:rFonts w:hint="eastAsia" w:ascii="宋体" w:hAnsi="宋体" w:cs="Times New Roman"/>
          <w:b/>
          <w:bCs/>
          <w:color w:val="auto"/>
          <w:sz w:val="24"/>
          <w:szCs w:val="24"/>
          <w:lang w:val="en-US" w:eastAsia="zh-CN"/>
        </w:rPr>
      </w:pPr>
      <w:r>
        <w:rPr>
          <w:rFonts w:hint="eastAsia" w:ascii="宋体" w:hAnsi="宋体" w:cs="Times New Roman"/>
          <w:b/>
          <w:bCs/>
          <w:color w:val="auto"/>
          <w:sz w:val="24"/>
          <w:szCs w:val="24"/>
          <w:lang w:val="en-US" w:eastAsia="zh-CN"/>
        </w:rPr>
        <w:br w:type="page"/>
      </w:r>
    </w:p>
    <w:p w14:paraId="1A2D2D07">
      <w:pPr>
        <w:keepNext w:val="0"/>
        <w:keepLines w:val="0"/>
        <w:pageBreakBefore w:val="0"/>
        <w:kinsoku/>
        <w:wordWrap/>
        <w:overflowPunct/>
        <w:topLinePunct w:val="0"/>
        <w:bidi w:val="0"/>
        <w:adjustRightInd/>
        <w:snapToGrid/>
        <w:spacing w:line="360" w:lineRule="auto"/>
        <w:ind w:firstLine="482" w:firstLineChars="200"/>
        <w:jc w:val="left"/>
        <w:textAlignment w:val="auto"/>
        <w:rPr>
          <w:rFonts w:hint="eastAsia" w:ascii="宋体" w:hAnsi="宋体" w:cs="Times New Roman"/>
          <w:b w:val="0"/>
          <w:bCs w:val="0"/>
          <w:color w:val="auto"/>
          <w:sz w:val="24"/>
          <w:szCs w:val="24"/>
          <w:lang w:eastAsia="zh-CN"/>
        </w:rPr>
      </w:pPr>
      <w:r>
        <w:rPr>
          <w:rFonts w:hint="eastAsia" w:ascii="宋体" w:hAnsi="宋体" w:cs="Times New Roman"/>
          <w:b/>
          <w:bCs/>
          <w:color w:val="auto"/>
          <w:sz w:val="24"/>
          <w:szCs w:val="24"/>
          <w:lang w:val="en-US" w:eastAsia="zh-CN"/>
        </w:rPr>
        <w:t>PM</w:t>
      </w:r>
      <w:r>
        <w:rPr>
          <w:rFonts w:hint="eastAsia" w:ascii="宋体" w:hAnsi="宋体" w:cs="Times New Roman"/>
          <w:b/>
          <w:bCs/>
          <w:color w:val="auto"/>
          <w:sz w:val="24"/>
          <w:szCs w:val="24"/>
          <w:lang w:eastAsia="zh-CN"/>
        </w:rPr>
        <w:t>1：</w:t>
      </w:r>
      <w:r>
        <w:rPr>
          <w:rFonts w:hint="eastAsia" w:ascii="宋体" w:hAnsi="宋体" w:cs="Times New Roman"/>
          <w:b w:val="0"/>
          <w:bCs w:val="0"/>
          <w:color w:val="auto"/>
          <w:sz w:val="24"/>
          <w:szCs w:val="24"/>
          <w:lang w:eastAsia="zh-CN"/>
        </w:rPr>
        <w:t>位于</w:t>
      </w:r>
      <w:r>
        <w:rPr>
          <w:rFonts w:hint="eastAsia" w:ascii="宋体" w:hAnsi="宋体" w:cs="宋体"/>
          <w:color w:val="auto"/>
          <w:kern w:val="0"/>
          <w:sz w:val="24"/>
          <w:szCs w:val="24"/>
          <w:lang w:val="en-US" w:eastAsia="zh-CN" w:bidi="ar"/>
        </w:rPr>
        <w:t>勘探区域中</w:t>
      </w:r>
      <w:r>
        <w:rPr>
          <w:rFonts w:hint="eastAsia" w:ascii="宋体" w:hAnsi="宋体" w:cs="Times New Roman"/>
          <w:b w:val="0"/>
          <w:bCs w:val="0"/>
          <w:color w:val="auto"/>
          <w:sz w:val="24"/>
          <w:szCs w:val="24"/>
          <w:lang w:val="en-US" w:eastAsia="zh-CN"/>
        </w:rPr>
        <w:t>部</w:t>
      </w:r>
      <w:r>
        <w:rPr>
          <w:rFonts w:hint="eastAsia" w:ascii="宋体" w:hAnsi="宋体" w:cs="Times New Roman"/>
          <w:b w:val="0"/>
          <w:bCs w:val="0"/>
          <w:color w:val="auto"/>
          <w:sz w:val="24"/>
          <w:szCs w:val="24"/>
          <w:lang w:eastAsia="zh-CN"/>
        </w:rPr>
        <w:t>，</w:t>
      </w:r>
      <w:r>
        <w:rPr>
          <w:rFonts w:hint="eastAsia" w:ascii="宋体" w:hAnsi="宋体" w:cs="Times New Roman"/>
          <w:b w:val="0"/>
          <w:bCs w:val="0"/>
          <w:color w:val="auto"/>
          <w:sz w:val="24"/>
          <w:szCs w:val="24"/>
          <w:lang w:val="en-US" w:eastAsia="zh-CN"/>
        </w:rPr>
        <w:t>剖面</w:t>
      </w:r>
      <w:r>
        <w:rPr>
          <w:rFonts w:hint="eastAsia" w:ascii="宋体" w:hAnsi="宋体" w:cs="Times New Roman"/>
          <w:b w:val="0"/>
          <w:bCs w:val="0"/>
          <w:color w:val="auto"/>
          <w:sz w:val="24"/>
          <w:szCs w:val="24"/>
          <w:lang w:eastAsia="zh-CN"/>
        </w:rPr>
        <w:t>地层堆积依土色、土质及</w:t>
      </w:r>
      <w:r>
        <w:rPr>
          <w:rFonts w:hint="eastAsia" w:ascii="宋体" w:hAnsi="宋体" w:cs="Times New Roman"/>
          <w:b w:val="0"/>
          <w:bCs w:val="0"/>
          <w:color w:val="auto"/>
          <w:sz w:val="24"/>
          <w:szCs w:val="24"/>
          <w:lang w:val="en-US" w:eastAsia="zh-CN"/>
        </w:rPr>
        <w:t>包</w:t>
      </w:r>
      <w:r>
        <w:rPr>
          <w:rFonts w:hint="eastAsia" w:ascii="宋体" w:hAnsi="宋体" w:cs="Times New Roman"/>
          <w:b w:val="0"/>
          <w:bCs w:val="0"/>
          <w:color w:val="auto"/>
          <w:sz w:val="24"/>
          <w:szCs w:val="24"/>
          <w:lang w:eastAsia="zh-CN"/>
        </w:rPr>
        <w:t>含物可划分为</w:t>
      </w:r>
      <w:r>
        <w:rPr>
          <w:rFonts w:hint="eastAsia" w:ascii="宋体" w:hAnsi="宋体" w:cs="Times New Roman"/>
          <w:b w:val="0"/>
          <w:bCs w:val="0"/>
          <w:color w:val="auto"/>
          <w:sz w:val="24"/>
          <w:szCs w:val="24"/>
          <w:lang w:val="en-US" w:eastAsia="zh-CN"/>
        </w:rPr>
        <w:t>一</w:t>
      </w:r>
      <w:r>
        <w:rPr>
          <w:rFonts w:hint="eastAsia" w:ascii="宋体" w:hAnsi="宋体" w:cs="Times New Roman"/>
          <w:b w:val="0"/>
          <w:bCs w:val="0"/>
          <w:color w:val="auto"/>
          <w:sz w:val="24"/>
          <w:szCs w:val="24"/>
          <w:lang w:eastAsia="zh-CN"/>
        </w:rPr>
        <w:t>层，</w:t>
      </w:r>
      <w:r>
        <w:rPr>
          <w:rFonts w:hint="eastAsia" w:ascii="宋体" w:hAnsi="宋体" w:cs="Times New Roman"/>
          <w:b w:val="0"/>
          <w:bCs w:val="0"/>
          <w:color w:val="auto"/>
          <w:sz w:val="24"/>
          <w:szCs w:val="24"/>
          <w:lang w:val="en-US" w:eastAsia="zh-CN"/>
        </w:rPr>
        <w:t>具体情况如下</w:t>
      </w:r>
      <w:r>
        <w:rPr>
          <w:rFonts w:hint="eastAsia" w:ascii="宋体" w:hAnsi="宋体" w:cs="Times New Roman"/>
          <w:b w:val="0"/>
          <w:bCs w:val="0"/>
          <w:color w:val="auto"/>
          <w:sz w:val="24"/>
          <w:szCs w:val="24"/>
          <w:lang w:eastAsia="zh-CN"/>
        </w:rPr>
        <w:t>：</w:t>
      </w:r>
    </w:p>
    <w:p w14:paraId="4E863A59">
      <w:pPr>
        <w:keepNext w:val="0"/>
        <w:keepLines w:val="0"/>
        <w:pageBreakBefore w:val="0"/>
        <w:kinsoku/>
        <w:wordWrap/>
        <w:overflowPunct/>
        <w:topLinePunct w:val="0"/>
        <w:bidi w:val="0"/>
        <w:adjustRightInd/>
        <w:snapToGrid/>
        <w:spacing w:line="360" w:lineRule="auto"/>
        <w:ind w:firstLine="480" w:firstLineChars="200"/>
        <w:jc w:val="left"/>
        <w:textAlignment w:val="auto"/>
        <w:rPr>
          <w:rFonts w:hint="eastAsia" w:ascii="宋体" w:hAnsi="宋体" w:cs="Times New Roman"/>
          <w:b w:val="0"/>
          <w:bCs w:val="0"/>
          <w:color w:val="auto"/>
          <w:sz w:val="24"/>
          <w:szCs w:val="24"/>
          <w:lang w:val="en-US" w:eastAsia="zh-CN"/>
        </w:rPr>
      </w:pPr>
      <w:r>
        <w:rPr>
          <w:rFonts w:hint="eastAsia" w:ascii="宋体" w:hAnsi="宋体" w:cs="宋体"/>
          <w:color w:val="auto"/>
          <w:sz w:val="24"/>
          <w:szCs w:val="24"/>
          <w:lang w:val="en-US" w:eastAsia="zh-CN"/>
        </w:rPr>
        <w:t>①层</w:t>
      </w:r>
      <w:r>
        <w:rPr>
          <w:rFonts w:hint="eastAsia" w:ascii="宋体" w:hAnsi="宋体" w:eastAsia="宋体" w:cs="宋体"/>
          <w:color w:val="auto"/>
          <w:sz w:val="24"/>
          <w:szCs w:val="24"/>
          <w:lang w:val="en-US" w:eastAsia="zh-CN"/>
        </w:rPr>
        <w:t>：</w:t>
      </w:r>
      <w:r>
        <w:rPr>
          <w:rFonts w:hint="eastAsia"/>
          <w:color w:val="auto"/>
          <w:spacing w:val="0"/>
          <w:sz w:val="24"/>
          <w:lang w:val="en-US" w:eastAsia="zh-CN"/>
        </w:rPr>
        <w:t>表土</w:t>
      </w:r>
      <w:r>
        <w:rPr>
          <w:rFonts w:hint="eastAsia" w:ascii="宋体" w:hAnsi="宋体" w:cs="Times New Roman"/>
          <w:b w:val="0"/>
          <w:bCs w:val="0"/>
          <w:color w:val="auto"/>
          <w:sz w:val="24"/>
          <w:szCs w:val="24"/>
          <w:lang w:val="en-US" w:eastAsia="zh-CN"/>
        </w:rPr>
        <w:t>层，厚约0.2-0.35米，</w:t>
      </w:r>
      <w:r>
        <w:rPr>
          <w:rFonts w:hint="eastAsia" w:ascii="宋体" w:hAnsi="宋体" w:eastAsia="宋体" w:cs="宋体"/>
          <w:color w:val="auto"/>
          <w:sz w:val="24"/>
          <w:szCs w:val="24"/>
          <w:lang w:val="en-US" w:eastAsia="zh-CN" w:bidi="en-US"/>
        </w:rPr>
        <w:t>为灰褐色黏土，土质疏松，含植物根茎</w:t>
      </w:r>
      <w:r>
        <w:rPr>
          <w:rFonts w:hint="eastAsia" w:ascii="宋体" w:hAnsi="宋体" w:cs="宋体"/>
          <w:color w:val="auto"/>
          <w:sz w:val="24"/>
          <w:szCs w:val="24"/>
          <w:lang w:val="en-US" w:eastAsia="zh-CN" w:bidi="en-US"/>
        </w:rPr>
        <w:t>；</w:t>
      </w:r>
      <w:r>
        <w:rPr>
          <w:rFonts w:hint="eastAsia" w:ascii="宋体" w:hAnsi="宋体" w:eastAsia="宋体" w:cs="宋体"/>
          <w:color w:val="auto"/>
          <w:sz w:val="24"/>
          <w:szCs w:val="24"/>
          <w:lang w:val="en-US" w:eastAsia="zh-CN" w:bidi="en-US"/>
        </w:rPr>
        <w:t>该层下即为生土，为</w:t>
      </w:r>
      <w:r>
        <w:rPr>
          <w:rFonts w:hint="eastAsia" w:ascii="宋体" w:hAnsi="宋体" w:cs="宋体"/>
          <w:color w:val="auto"/>
          <w:sz w:val="24"/>
          <w:szCs w:val="24"/>
          <w:lang w:val="en-US" w:eastAsia="zh-CN" w:bidi="en-US"/>
        </w:rPr>
        <w:t>黄</w:t>
      </w:r>
      <w:r>
        <w:rPr>
          <w:rFonts w:hint="eastAsia" w:ascii="宋体" w:hAnsi="宋体" w:eastAsia="宋体" w:cs="宋体"/>
          <w:color w:val="auto"/>
          <w:sz w:val="24"/>
          <w:szCs w:val="24"/>
          <w:lang w:val="en-US" w:eastAsia="zh-CN" w:bidi="en-US"/>
        </w:rPr>
        <w:t>褐色黏土，土质致密，</w:t>
      </w:r>
      <w:r>
        <w:rPr>
          <w:rFonts w:hint="eastAsia" w:ascii="宋体" w:hAnsi="宋体" w:cs="宋体"/>
          <w:color w:val="auto"/>
          <w:sz w:val="24"/>
          <w:szCs w:val="24"/>
          <w:lang w:val="en-US" w:eastAsia="zh-CN" w:bidi="en-US"/>
        </w:rPr>
        <w:t>纯净</w:t>
      </w:r>
      <w:r>
        <w:rPr>
          <w:rFonts w:hint="eastAsia" w:ascii="宋体" w:hAnsi="宋体" w:eastAsia="宋体" w:cs="宋体"/>
          <w:color w:val="auto"/>
          <w:sz w:val="24"/>
          <w:szCs w:val="24"/>
          <w:lang w:val="en-US" w:eastAsia="zh-CN" w:bidi="en-US"/>
        </w:rPr>
        <w:t>。</w:t>
      </w:r>
    </w:p>
    <w:p w14:paraId="77C7627A">
      <w:pPr>
        <w:snapToGrid w:val="0"/>
        <w:ind w:firstLine="0"/>
        <w:jc w:val="center"/>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drawing>
          <wp:inline distT="0" distB="0" distL="114300" distR="114300">
            <wp:extent cx="4859655" cy="3239770"/>
            <wp:effectExtent l="0" t="0" r="17145" b="17780"/>
            <wp:docPr id="78" name="图片 78" descr="D:/1-小陈/1-上传/87-增城区增江街五星村38.548亩地块                计划书/增城区增江街五星村38.548亩地块/15、其他相关资料/勘探照片/剖面照/29.PM1（西-东）.JPG29.PM1（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1-小陈/1-上传/87-增城区增江街五星村38.548亩地块                计划书/增城区增江街五星村38.548亩地块/15、其他相关资料/勘探照片/剖面照/29.PM1（西-东）.JPG29.PM1（西-东）"/>
                    <pic:cNvPicPr>
                      <a:picLocks noChangeAspect="1"/>
                    </pic:cNvPicPr>
                  </pic:nvPicPr>
                  <pic:blipFill>
                    <a:blip r:embed="rId62"/>
                    <a:srcRect/>
                    <a:stretch>
                      <a:fillRect/>
                    </a:stretch>
                  </pic:blipFill>
                  <pic:spPr>
                    <a:xfrm>
                      <a:off x="0" y="0"/>
                      <a:ext cx="4859655" cy="3239770"/>
                    </a:xfrm>
                    <a:prstGeom prst="rect">
                      <a:avLst/>
                    </a:prstGeom>
                  </pic:spPr>
                </pic:pic>
              </a:graphicData>
            </a:graphic>
          </wp:inline>
        </w:drawing>
      </w:r>
    </w:p>
    <w:p w14:paraId="277F58A3">
      <w:pPr>
        <w:snapToGrid w:val="0"/>
        <w:ind w:firstLine="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53</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PM1完工照（西-东）</w:t>
      </w:r>
    </w:p>
    <w:p w14:paraId="34A74500">
      <w:pPr>
        <w:snapToGrid w:val="0"/>
        <w:ind w:firstLine="0"/>
        <w:jc w:val="center"/>
        <w:rPr>
          <w:rFonts w:hint="eastAsia" w:ascii="黑体" w:hAnsi="黑体" w:eastAsia="黑体" w:cs="黑体"/>
          <w:color w:val="auto"/>
          <w:sz w:val="21"/>
          <w:szCs w:val="21"/>
          <w:lang w:eastAsia="zh-CN"/>
        </w:rPr>
      </w:pPr>
    </w:p>
    <w:p w14:paraId="6C0F909A">
      <w:pPr>
        <w:snapToGrid w:val="0"/>
        <w:ind w:firstLine="0"/>
        <w:jc w:val="center"/>
        <w:rPr>
          <w:rFonts w:hint="eastAsia" w:ascii="黑体" w:hAnsi="黑体" w:eastAsia="黑体" w:cs="黑体"/>
          <w:color w:val="auto"/>
          <w:sz w:val="21"/>
          <w:szCs w:val="21"/>
        </w:rPr>
      </w:pPr>
      <w:r>
        <w:rPr>
          <w:color w:val="auto"/>
        </w:rPr>
        <w:drawing>
          <wp:inline distT="0" distB="0" distL="114300" distR="114300">
            <wp:extent cx="4859655" cy="3239770"/>
            <wp:effectExtent l="9525" t="9525" r="26670" b="27305"/>
            <wp:docPr id="79" name="图片 1" descr="D:/1-小陈/1-上传/87-增城区增江街五星村38.548亩地块                计划书/增城区增江街五星村38.548亩地块/4、绘图资料/PM1.jpgP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D:/1-小陈/1-上传/87-增城区增江街五星村38.548亩地块                计划书/增城区增江街五星村38.548亩地块/4、绘图资料/PM1.jpgPM1"/>
                    <pic:cNvPicPr>
                      <a:picLocks noChangeAspect="1"/>
                    </pic:cNvPicPr>
                  </pic:nvPicPr>
                  <pic:blipFill>
                    <a:blip r:embed="rId63"/>
                    <a:srcRect t="3887" b="3887"/>
                    <a:stretch>
                      <a:fillRect/>
                    </a:stretch>
                  </pic:blipFill>
                  <pic:spPr>
                    <a:xfrm>
                      <a:off x="0" y="0"/>
                      <a:ext cx="4859655" cy="3239770"/>
                    </a:xfrm>
                    <a:prstGeom prst="rect">
                      <a:avLst/>
                    </a:prstGeom>
                    <a:noFill/>
                    <a:ln>
                      <a:solidFill>
                        <a:schemeClr val="tx1"/>
                      </a:solidFill>
                    </a:ln>
                  </pic:spPr>
                </pic:pic>
              </a:graphicData>
            </a:graphic>
          </wp:inline>
        </w:drawing>
      </w:r>
    </w:p>
    <w:p w14:paraId="5D7158C0">
      <w:pPr>
        <w:snapToGrid w:val="0"/>
        <w:ind w:firstLine="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rPr>
        <w:t xml:space="preserve">图 </w:t>
      </w:r>
      <w:r>
        <w:rPr>
          <w:rFonts w:hint="eastAsia" w:ascii="黑体" w:hAnsi="黑体" w:eastAsia="黑体" w:cs="黑体"/>
          <w:color w:val="auto"/>
          <w:sz w:val="21"/>
          <w:szCs w:val="21"/>
        </w:rPr>
        <w:fldChar w:fldCharType="begin"/>
      </w:r>
      <w:r>
        <w:rPr>
          <w:rFonts w:hint="eastAsia" w:ascii="黑体" w:hAnsi="黑体" w:eastAsia="黑体" w:cs="黑体"/>
          <w:color w:val="auto"/>
          <w:sz w:val="21"/>
          <w:szCs w:val="21"/>
        </w:rPr>
        <w:instrText xml:space="preserve"> SEQ 图 \* ARABIC </w:instrText>
      </w:r>
      <w:r>
        <w:rPr>
          <w:rFonts w:hint="eastAsia" w:ascii="黑体" w:hAnsi="黑体" w:eastAsia="黑体" w:cs="黑体"/>
          <w:color w:val="auto"/>
          <w:sz w:val="21"/>
          <w:szCs w:val="21"/>
        </w:rPr>
        <w:fldChar w:fldCharType="separate"/>
      </w:r>
      <w:r>
        <w:rPr>
          <w:rFonts w:hint="eastAsia" w:ascii="黑体" w:hAnsi="黑体" w:eastAsia="黑体" w:cs="黑体"/>
          <w:color w:val="auto"/>
          <w:sz w:val="21"/>
          <w:szCs w:val="21"/>
        </w:rPr>
        <w:t>54</w:t>
      </w:r>
      <w:r>
        <w:rPr>
          <w:rFonts w:hint="eastAsia" w:ascii="黑体" w:hAnsi="黑体" w:eastAsia="黑体" w:cs="黑体"/>
          <w:color w:val="auto"/>
          <w:sz w:val="21"/>
          <w:szCs w:val="21"/>
        </w:rPr>
        <w:fldChar w:fldCharType="end"/>
      </w:r>
      <w:r>
        <w:rPr>
          <w:rFonts w:hint="eastAsia" w:ascii="黑体" w:hAnsi="黑体" w:eastAsia="黑体" w:cs="黑体"/>
          <w:color w:val="auto"/>
          <w:sz w:val="21"/>
          <w:szCs w:val="21"/>
          <w:lang w:val="en-US" w:eastAsia="zh-CN"/>
        </w:rPr>
        <w:t xml:space="preserve">  PM1剖面图</w:t>
      </w:r>
    </w:p>
    <w:p w14:paraId="3F56BA39">
      <w:pPr>
        <w:rPr>
          <w:rFonts w:hint="eastAsia"/>
          <w:color w:val="auto"/>
          <w:lang w:val="en-US" w:eastAsia="zh-CN"/>
        </w:rPr>
      </w:pPr>
      <w:r>
        <w:rPr>
          <w:rFonts w:hint="eastAsia"/>
          <w:color w:val="auto"/>
          <w:lang w:val="en-US" w:eastAsia="zh-CN"/>
        </w:rPr>
        <w:br w:type="page"/>
      </w:r>
    </w:p>
    <w:p w14:paraId="7FDE32B2">
      <w:pPr>
        <w:pStyle w:val="2"/>
        <w:keepNext/>
        <w:keepLines/>
        <w:pageBreakBefore w:val="0"/>
        <w:widowControl/>
        <w:kinsoku/>
        <w:wordWrap/>
        <w:overflowPunct/>
        <w:topLinePunct w:val="0"/>
        <w:autoSpaceDE/>
        <w:autoSpaceDN/>
        <w:bidi w:val="0"/>
        <w:adjustRightInd/>
        <w:snapToGrid/>
        <w:spacing w:before="30" w:after="30" w:line="360" w:lineRule="auto"/>
        <w:ind w:firstLine="0"/>
        <w:jc w:val="center"/>
        <w:textAlignment w:val="auto"/>
        <w:rPr>
          <w:rFonts w:hint="eastAsia" w:eastAsia="宋体"/>
          <w:color w:val="auto"/>
          <w:sz w:val="28"/>
          <w:szCs w:val="28"/>
          <w:lang w:val="zh-CN" w:eastAsia="zh-CN"/>
        </w:rPr>
      </w:pPr>
      <w:bookmarkStart w:id="88" w:name="_Toc21644"/>
      <w:r>
        <w:rPr>
          <w:rFonts w:hint="eastAsia" w:eastAsia="宋体"/>
          <w:color w:val="auto"/>
          <w:sz w:val="28"/>
          <w:szCs w:val="28"/>
          <w:lang w:val="zh-CN" w:eastAsia="zh-CN"/>
        </w:rPr>
        <w:t>四、考古调查勘探结果和文物保护意见</w:t>
      </w:r>
      <w:bookmarkEnd w:id="88"/>
    </w:p>
    <w:p w14:paraId="12700338">
      <w:pPr>
        <w:pStyle w:val="3"/>
        <w:keepNext/>
        <w:keepLines/>
        <w:pageBreakBefore w:val="0"/>
        <w:widowControl/>
        <w:kinsoku/>
        <w:wordWrap/>
        <w:overflowPunct/>
        <w:topLinePunct w:val="0"/>
        <w:autoSpaceDE/>
        <w:autoSpaceDN/>
        <w:bidi w:val="0"/>
        <w:adjustRightInd/>
        <w:snapToGrid/>
        <w:spacing w:line="360" w:lineRule="auto"/>
        <w:ind w:firstLine="363"/>
        <w:textAlignment w:val="auto"/>
        <w:rPr>
          <w:rFonts w:hint="eastAsia"/>
          <w:b w:val="0"/>
          <w:bCs/>
          <w:color w:val="auto"/>
          <w:highlight w:val="none"/>
        </w:rPr>
      </w:pPr>
      <w:bookmarkStart w:id="89" w:name="_Toc47435699"/>
      <w:bookmarkStart w:id="90" w:name="_Toc19253"/>
      <w:bookmarkStart w:id="91" w:name="_Toc8660"/>
      <w:bookmarkStart w:id="92" w:name="_Toc22186_WPSOffice_Level2"/>
      <w:bookmarkStart w:id="93" w:name="_Toc24418"/>
      <w:r>
        <w:rPr>
          <w:rFonts w:hint="eastAsia"/>
          <w:b w:val="0"/>
          <w:bCs/>
          <w:color w:val="auto"/>
          <w:highlight w:val="none"/>
        </w:rPr>
        <w:t>（一）考古调查勘探结果</w:t>
      </w:r>
      <w:bookmarkEnd w:id="89"/>
      <w:bookmarkEnd w:id="90"/>
      <w:bookmarkEnd w:id="91"/>
      <w:bookmarkEnd w:id="92"/>
      <w:bookmarkEnd w:id="93"/>
    </w:p>
    <w:p w14:paraId="077D3E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color w:val="auto"/>
          <w:highlight w:val="yellow"/>
        </w:rPr>
      </w:pPr>
      <w:bookmarkStart w:id="94" w:name="_Toc6409_WPSOffice_Level2"/>
      <w:bookmarkStart w:id="95" w:name="_Toc12989"/>
      <w:bookmarkStart w:id="96" w:name="_Toc21647"/>
      <w:bookmarkStart w:id="97" w:name="_Toc17091"/>
      <w:r>
        <w:rPr>
          <w:rFonts w:hint="eastAsia" w:ascii="宋体" w:hAnsi="宋体" w:eastAsia="宋体" w:cs="宋体"/>
          <w:color w:val="auto"/>
          <w:sz w:val="24"/>
          <w:szCs w:val="24"/>
          <w:lang w:val="en-US" w:eastAsia="zh-CN"/>
        </w:rPr>
        <w:t>根据《中华人民共和国文物保护法》《广州市文物保护规定》，按照</w:t>
      </w:r>
      <w:r>
        <w:rPr>
          <w:rFonts w:hint="eastAsia" w:ascii="宋体" w:hAnsi="宋体" w:cs="宋体"/>
          <w:color w:val="auto"/>
          <w:kern w:val="2"/>
          <w:sz w:val="24"/>
          <w:szCs w:val="24"/>
          <w:lang w:val="en-US" w:eastAsia="zh-CN" w:bidi="ar-SA"/>
        </w:rPr>
        <w:t>《广州市文物局关于增城区2025年度第二批地块考古调查勘探工作的复函》（文物20250354号）</w:t>
      </w:r>
      <w:r>
        <w:rPr>
          <w:rFonts w:hint="eastAsia" w:ascii="宋体" w:hAnsi="宋体" w:eastAsia="宋体" w:cs="宋体"/>
          <w:color w:val="auto"/>
          <w:sz w:val="24"/>
          <w:szCs w:val="24"/>
          <w:lang w:val="en-US" w:eastAsia="zh-CN"/>
        </w:rPr>
        <w:t>的指导意见，受</w:t>
      </w:r>
      <w:r>
        <w:rPr>
          <w:rFonts w:hint="eastAsia" w:ascii="宋体" w:hAnsi="宋体" w:cs="宋体"/>
          <w:color w:val="auto"/>
          <w:sz w:val="24"/>
          <w:szCs w:val="24"/>
          <w:lang w:val="en-US" w:eastAsia="zh-CN"/>
        </w:rPr>
        <w:t>广州市增城区土地开发储备中心</w:t>
      </w:r>
      <w:r>
        <w:rPr>
          <w:rFonts w:hint="eastAsia" w:ascii="宋体" w:hAnsi="宋体" w:eastAsia="宋体" w:cs="宋体"/>
          <w:color w:val="auto"/>
          <w:sz w:val="24"/>
          <w:szCs w:val="24"/>
          <w:lang w:val="en-US" w:eastAsia="zh-CN"/>
        </w:rPr>
        <w:t>的委托，由我院负责</w:t>
      </w:r>
      <w:r>
        <w:rPr>
          <w:rFonts w:hint="eastAsia" w:ascii="宋体" w:hAnsi="宋体" w:cs="宋体"/>
          <w:color w:val="auto"/>
          <w:sz w:val="24"/>
          <w:szCs w:val="24"/>
          <w:lang w:val="en-US" w:eastAsia="zh-CN"/>
        </w:rPr>
        <w:t>增城区增江街五星村38.548亩地块</w:t>
      </w:r>
      <w:r>
        <w:rPr>
          <w:rFonts w:hint="eastAsia" w:ascii="宋体" w:hAnsi="宋体" w:eastAsia="宋体" w:cs="宋体"/>
          <w:color w:val="auto"/>
          <w:sz w:val="24"/>
          <w:szCs w:val="24"/>
          <w:highlight w:val="none"/>
          <w:lang w:val="en-US" w:eastAsia="zh-CN"/>
        </w:rPr>
        <w:t>的文物考古调查、勘探</w:t>
      </w:r>
      <w:r>
        <w:rPr>
          <w:rFonts w:hint="eastAsia" w:ascii="宋体" w:hAnsi="宋体" w:eastAsia="宋体" w:cs="宋体"/>
          <w:color w:val="auto"/>
          <w:sz w:val="24"/>
          <w:szCs w:val="24"/>
          <w:highlight w:val="none"/>
          <w:lang w:val="en-US" w:eastAsia="zh-CN" w:bidi="en-US"/>
        </w:rPr>
        <w:t>工作</w:t>
      </w:r>
      <w:r>
        <w:rPr>
          <w:rFonts w:hint="eastAsia" w:ascii="宋体" w:hAnsi="宋体" w:cs="宋体"/>
          <w:color w:val="auto"/>
          <w:sz w:val="24"/>
          <w:szCs w:val="24"/>
          <w:highlight w:val="none"/>
          <w:lang w:val="en-US" w:eastAsia="zh-CN" w:bidi="en-US"/>
        </w:rPr>
        <w:t>，</w:t>
      </w:r>
      <w:r>
        <w:rPr>
          <w:rFonts w:hint="eastAsia" w:ascii="宋体" w:hAnsi="宋体" w:eastAsia="宋体" w:cs="宋体"/>
          <w:color w:val="auto"/>
          <w:kern w:val="0"/>
          <w:sz w:val="24"/>
          <w:szCs w:val="24"/>
          <w:highlight w:val="none"/>
          <w:lang w:val="en-US" w:eastAsia="zh-CN" w:bidi="ar"/>
        </w:rPr>
        <w:t>完成</w:t>
      </w:r>
      <w:r>
        <w:rPr>
          <w:rFonts w:hint="eastAsia" w:ascii="宋体" w:hAnsi="宋体" w:cs="宋体"/>
          <w:color w:val="auto"/>
          <w:kern w:val="0"/>
          <w:sz w:val="24"/>
          <w:szCs w:val="24"/>
          <w:highlight w:val="none"/>
          <w:lang w:val="en-US" w:eastAsia="zh-CN" w:bidi="ar"/>
        </w:rPr>
        <w:t>调查面积25698.8平方米、</w:t>
      </w:r>
      <w:r>
        <w:rPr>
          <w:rFonts w:hint="eastAsia" w:ascii="宋体" w:hAnsi="宋体" w:eastAsia="宋体" w:cs="宋体"/>
          <w:color w:val="auto"/>
          <w:kern w:val="0"/>
          <w:sz w:val="24"/>
          <w:szCs w:val="24"/>
          <w:highlight w:val="none"/>
          <w:lang w:val="en-US" w:eastAsia="zh-CN" w:bidi="ar"/>
        </w:rPr>
        <w:t>勘探面积</w:t>
      </w:r>
      <w:r>
        <w:rPr>
          <w:rFonts w:hint="eastAsia" w:ascii="宋体" w:hAnsi="宋体" w:cs="宋体"/>
          <w:color w:val="auto"/>
          <w:kern w:val="0"/>
          <w:sz w:val="24"/>
          <w:szCs w:val="24"/>
          <w:highlight w:val="none"/>
          <w:lang w:val="en-US" w:eastAsia="zh-CN" w:bidi="ar"/>
        </w:rPr>
        <w:t>7700</w:t>
      </w:r>
      <w:r>
        <w:rPr>
          <w:rFonts w:hint="eastAsia" w:ascii="宋体" w:hAnsi="宋体" w:eastAsia="宋体" w:cs="宋体"/>
          <w:color w:val="auto"/>
          <w:kern w:val="0"/>
          <w:sz w:val="24"/>
          <w:szCs w:val="24"/>
          <w:highlight w:val="none"/>
          <w:lang w:val="en-US" w:eastAsia="zh-CN" w:bidi="ar"/>
        </w:rPr>
        <w:t>平方米。</w:t>
      </w:r>
    </w:p>
    <w:p w14:paraId="47D8C1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增城区增江街五星村38.548亩地块位于增城区增江街五星村西南部，增城区北绕线西侧，蕉石岭森林公园北部，布加岭东南部。该地块总面积25698.8平方米。地块都为山岗，坡度平缓，地块较好的保存了山体的原貌，地势西南高东北低，部分区域较为陡峭，地表种植有松树、灌木等植被。</w:t>
      </w:r>
      <w:r>
        <w:rPr>
          <w:rFonts w:hint="eastAsia" w:ascii="宋体" w:hAnsi="宋体" w:eastAsia="宋体" w:cs="宋体"/>
          <w:color w:val="auto"/>
          <w:kern w:val="0"/>
          <w:sz w:val="24"/>
          <w:szCs w:val="24"/>
          <w:lang w:val="en-US" w:eastAsia="zh-CN" w:bidi="ar"/>
        </w:rPr>
        <w:t>考古勘探表明，该地块内地层堆积较为简单。①层：表土层，为灰褐色黏土，土质疏松，包含植物根茎。该层下为生土，</w:t>
      </w:r>
      <w:r>
        <w:rPr>
          <w:rFonts w:hint="eastAsia" w:ascii="宋体" w:hAnsi="宋体" w:cs="宋体"/>
          <w:color w:val="auto"/>
          <w:kern w:val="0"/>
          <w:sz w:val="24"/>
          <w:szCs w:val="24"/>
          <w:lang w:val="en-US" w:eastAsia="zh-CN" w:bidi="ar"/>
        </w:rPr>
        <w:t>为</w:t>
      </w:r>
      <w:r>
        <w:rPr>
          <w:rFonts w:hint="eastAsia" w:ascii="宋体" w:hAnsi="宋体" w:eastAsia="宋体" w:cs="宋体"/>
          <w:color w:val="auto"/>
          <w:kern w:val="0"/>
          <w:sz w:val="24"/>
          <w:szCs w:val="24"/>
          <w:lang w:val="en-US" w:eastAsia="zh-CN" w:bidi="ar"/>
        </w:rPr>
        <w:t>黄褐色</w:t>
      </w:r>
      <w:r>
        <w:rPr>
          <w:rFonts w:hint="eastAsia" w:ascii="宋体" w:hAnsi="宋体" w:cs="宋体"/>
          <w:color w:val="auto"/>
          <w:kern w:val="0"/>
          <w:sz w:val="24"/>
          <w:szCs w:val="24"/>
          <w:lang w:val="en-US" w:eastAsia="zh-CN" w:bidi="ar"/>
        </w:rPr>
        <w:t>或红褐色</w:t>
      </w:r>
      <w:r>
        <w:rPr>
          <w:rFonts w:hint="eastAsia" w:ascii="宋体" w:hAnsi="宋体" w:eastAsia="宋体" w:cs="宋体"/>
          <w:color w:val="auto"/>
          <w:kern w:val="0"/>
          <w:sz w:val="24"/>
          <w:szCs w:val="24"/>
          <w:lang w:val="en-US" w:eastAsia="zh-CN" w:bidi="ar"/>
        </w:rPr>
        <w:t>黏土，土质致密、</w:t>
      </w:r>
      <w:r>
        <w:rPr>
          <w:rFonts w:hint="eastAsia" w:ascii="宋体" w:hAnsi="宋体" w:cs="宋体"/>
          <w:color w:val="auto"/>
          <w:kern w:val="0"/>
          <w:sz w:val="24"/>
          <w:szCs w:val="24"/>
          <w:lang w:val="en-US" w:eastAsia="zh-CN" w:bidi="ar"/>
        </w:rPr>
        <w:t>纯净</w:t>
      </w:r>
      <w:r>
        <w:rPr>
          <w:rFonts w:hint="eastAsia" w:ascii="宋体" w:hAnsi="宋体" w:eastAsia="宋体" w:cs="宋体"/>
          <w:color w:val="auto"/>
          <w:kern w:val="0"/>
          <w:sz w:val="24"/>
          <w:szCs w:val="24"/>
          <w:lang w:val="en-US" w:eastAsia="zh-CN" w:bidi="ar"/>
        </w:rPr>
        <w:t>。</w:t>
      </w:r>
    </w:p>
    <w:p w14:paraId="2038E2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eastAsia="宋体" w:cs="宋体"/>
          <w:color w:val="auto"/>
          <w:kern w:val="0"/>
          <w:sz w:val="24"/>
          <w:szCs w:val="24"/>
          <w:lang w:val="en-US" w:eastAsia="zh-CN" w:bidi="ar"/>
        </w:rPr>
        <w:t>本次考古调查</w:t>
      </w:r>
      <w:r>
        <w:rPr>
          <w:rFonts w:hint="eastAsia" w:ascii="宋体" w:hAnsi="宋体" w:cs="宋体"/>
          <w:color w:val="auto"/>
          <w:kern w:val="0"/>
          <w:sz w:val="24"/>
          <w:szCs w:val="24"/>
          <w:lang w:val="en-US" w:eastAsia="zh-CN" w:bidi="ar"/>
        </w:rPr>
        <w:t>在地块中部山岗发现一件石斧，</w:t>
      </w:r>
      <w:r>
        <w:rPr>
          <w:rFonts w:hint="eastAsia" w:ascii="宋体" w:hAnsi="宋体" w:eastAsia="宋体" w:cs="宋体"/>
          <w:color w:val="auto"/>
          <w:kern w:val="0"/>
          <w:sz w:val="24"/>
          <w:szCs w:val="24"/>
          <w:lang w:val="en-US" w:eastAsia="zh-CN" w:bidi="ar"/>
        </w:rPr>
        <w:t>勘探未发现</w:t>
      </w:r>
      <w:r>
        <w:rPr>
          <w:rFonts w:hint="eastAsia" w:ascii="宋体" w:hAnsi="宋体" w:cs="宋体"/>
          <w:color w:val="auto"/>
          <w:kern w:val="0"/>
          <w:sz w:val="24"/>
          <w:szCs w:val="24"/>
          <w:lang w:val="en-US" w:eastAsia="zh-CN" w:bidi="ar"/>
        </w:rPr>
        <w:t>其他</w:t>
      </w:r>
      <w:r>
        <w:rPr>
          <w:rFonts w:hint="eastAsia" w:ascii="宋体" w:hAnsi="宋体" w:eastAsia="宋体" w:cs="宋体"/>
          <w:color w:val="auto"/>
          <w:kern w:val="0"/>
          <w:sz w:val="24"/>
          <w:szCs w:val="24"/>
          <w:lang w:val="en-US" w:eastAsia="zh-CN" w:bidi="ar"/>
        </w:rPr>
        <w:t>古代文化遗存及不可移动文物。</w:t>
      </w:r>
      <w:r>
        <w:rPr>
          <w:rFonts w:hint="eastAsia" w:ascii="宋体" w:hAnsi="宋体" w:cs="宋体"/>
          <w:color w:val="auto"/>
          <w:kern w:val="0"/>
          <w:sz w:val="24"/>
          <w:szCs w:val="24"/>
          <w:lang w:val="en-US" w:eastAsia="zh-CN" w:bidi="ar"/>
        </w:rPr>
        <w:t>调查发现石斧可能是现代村民种树等活动带至此处的。</w:t>
      </w:r>
    </w:p>
    <w:p w14:paraId="0630F1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p>
    <w:p w14:paraId="21AA96EC">
      <w:pPr>
        <w:pStyle w:val="3"/>
        <w:keepNext/>
        <w:keepLines/>
        <w:pageBreakBefore w:val="0"/>
        <w:widowControl/>
        <w:kinsoku/>
        <w:wordWrap/>
        <w:overflowPunct/>
        <w:topLinePunct w:val="0"/>
        <w:autoSpaceDE/>
        <w:autoSpaceDN/>
        <w:bidi w:val="0"/>
        <w:adjustRightInd/>
        <w:snapToGrid/>
        <w:spacing w:line="360" w:lineRule="auto"/>
        <w:ind w:firstLine="363"/>
        <w:textAlignment w:val="auto"/>
        <w:rPr>
          <w:rFonts w:hint="eastAsia"/>
          <w:b w:val="0"/>
          <w:bCs/>
          <w:color w:val="auto"/>
          <w:highlight w:val="none"/>
          <w:lang w:val="en-US" w:eastAsia="zh-CN"/>
        </w:rPr>
      </w:pPr>
      <w:bookmarkStart w:id="98" w:name="_Toc5019"/>
      <w:r>
        <w:rPr>
          <w:rFonts w:hint="eastAsia"/>
          <w:b w:val="0"/>
          <w:bCs/>
          <w:color w:val="auto"/>
          <w:highlight w:val="none"/>
        </w:rPr>
        <w:t>（二）文物保护意见</w:t>
      </w:r>
      <w:bookmarkEnd w:id="94"/>
      <w:bookmarkEnd w:id="95"/>
      <w:bookmarkEnd w:id="96"/>
      <w:bookmarkEnd w:id="97"/>
      <w:bookmarkEnd w:id="98"/>
    </w:p>
    <w:p w14:paraId="49AF96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根据以上考古调查勘探结果，项目用地范围内未发现需要进一步开展考古发掘或原址保护的古代文化遗存。本次勘探对于今后在这一区域的考古工作具有一定的借鉴意义。</w:t>
      </w:r>
    </w:p>
    <w:p w14:paraId="138ACF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本次考古调查勘探工作完成后，收储单位可以继续按规定完善土地出让的手续。</w:t>
      </w:r>
    </w:p>
    <w:p w14:paraId="25981C8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由于地下堆积的形成、地面遗存的分布，存在一定的特殊性和不确定性，且本次考古勘探是对重点区域采取普通勘探的方式，勘探范围未能覆盖全部区域。后续在建设施工过程中，如发现文物或者疑似文物，建设、施工方应当立即停止施工，保护好现场，并立即报告当地文物行政部门。</w:t>
      </w:r>
    </w:p>
    <w:p w14:paraId="39AE449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14:paraId="3F68F205">
      <w:pPr>
        <w:pStyle w:val="18"/>
        <w:rPr>
          <w:rFonts w:hint="default"/>
          <w:color w:val="auto"/>
          <w:lang w:val="en-US" w:eastAsia="zh-CN"/>
        </w:rPr>
      </w:pPr>
    </w:p>
    <w:p w14:paraId="1A42881E">
      <w:pPr>
        <w:pStyle w:val="18"/>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E4CE77">
      <w:pPr>
        <w:pStyle w:val="2"/>
        <w:bidi w:val="0"/>
        <w:ind w:left="0" w:leftChars="0" w:right="0" w:rightChars="0" w:firstLine="0" w:firstLineChars="0"/>
        <w:jc w:val="both"/>
        <w:rPr>
          <w:rFonts w:hint="eastAsia" w:cs="Times New Roman"/>
          <w:b/>
          <w:bCs/>
          <w:color w:val="auto"/>
          <w:kern w:val="0"/>
          <w:sz w:val="28"/>
          <w:szCs w:val="30"/>
          <w:highlight w:val="none"/>
          <w:lang w:val="en-US" w:eastAsia="zh-CN" w:bidi="en-US"/>
        </w:rPr>
      </w:pPr>
      <w:bookmarkStart w:id="99" w:name="_Toc23672"/>
      <w:bookmarkStart w:id="100" w:name="_Toc17990"/>
      <w:bookmarkStart w:id="101" w:name="_Toc21972"/>
      <w:bookmarkStart w:id="102" w:name="_Toc19314"/>
      <w:bookmarkStart w:id="103" w:name="_Toc12948"/>
      <w:bookmarkStart w:id="104" w:name="_Toc447056077"/>
      <w:bookmarkStart w:id="105" w:name="_Toc2746"/>
      <w:bookmarkStart w:id="106" w:name="_Toc1164483362"/>
      <w:bookmarkStart w:id="107" w:name="_Toc12163"/>
      <w:r>
        <w:rPr>
          <w:rFonts w:hint="eastAsia" w:cs="Times New Roman"/>
          <w:b/>
          <w:bCs/>
          <w:color w:val="auto"/>
          <w:kern w:val="0"/>
          <w:sz w:val="28"/>
          <w:szCs w:val="30"/>
          <w:highlight w:val="none"/>
          <w:lang w:val="en-US" w:eastAsia="zh-CN" w:bidi="en-US"/>
        </w:rPr>
        <w:t>附表一  增城区增江街五星村38.548亩地块</w:t>
      </w:r>
      <w:bookmarkStart w:id="151" w:name="_GoBack"/>
      <w:bookmarkEnd w:id="151"/>
      <w:r>
        <w:rPr>
          <w:rFonts w:hint="eastAsia" w:cs="Times New Roman"/>
          <w:b/>
          <w:bCs/>
          <w:color w:val="auto"/>
          <w:kern w:val="0"/>
          <w:sz w:val="28"/>
          <w:szCs w:val="30"/>
          <w:highlight w:val="none"/>
          <w:lang w:val="en-US" w:eastAsia="zh-CN" w:bidi="en-US"/>
        </w:rPr>
        <w:t>探孔</w:t>
      </w:r>
      <w:r>
        <w:rPr>
          <w:rFonts w:hint="eastAsia" w:cs="Times New Roman"/>
          <w:b/>
          <w:bCs/>
          <w:color w:val="auto"/>
          <w:kern w:val="0"/>
          <w:sz w:val="28"/>
          <w:szCs w:val="30"/>
          <w:highlight w:val="none"/>
          <w:lang w:val="en-US" w:eastAsia="en-US" w:bidi="en-US"/>
        </w:rPr>
        <w:t>登记表</w:t>
      </w:r>
      <w:bookmarkEnd w:id="99"/>
      <w:bookmarkEnd w:id="100"/>
    </w:p>
    <w:tbl>
      <w:tblPr>
        <w:tblStyle w:val="19"/>
        <w:tblpPr w:leftFromText="180" w:rightFromText="180" w:vertAnchor="text" w:tblpXSpec="center" w:tblpY="1"/>
        <w:tblOverlap w:val="never"/>
        <w:tblW w:w="13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43"/>
        <w:gridCol w:w="1662"/>
        <w:gridCol w:w="1925"/>
        <w:gridCol w:w="650"/>
        <w:gridCol w:w="1050"/>
        <w:gridCol w:w="2250"/>
        <w:gridCol w:w="950"/>
        <w:gridCol w:w="962"/>
        <w:gridCol w:w="3903"/>
      </w:tblGrid>
      <w:tr w14:paraId="6911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7" w:hRule="atLeast"/>
        </w:trPr>
        <w:tc>
          <w:tcPr>
            <w:tcW w:w="6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CDEC35">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序号</w:t>
            </w:r>
          </w:p>
        </w:tc>
        <w:tc>
          <w:tcPr>
            <w:tcW w:w="35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7DDE57">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cs="宋体"/>
                <w:b/>
                <w:bCs w:val="0"/>
                <w:color w:val="auto"/>
                <w:kern w:val="0"/>
                <w:sz w:val="21"/>
                <w:szCs w:val="21"/>
                <w:highlight w:val="none"/>
                <w:lang w:val="en-US" w:eastAsia="zh-CN"/>
              </w:rPr>
              <w:t>坐标</w:t>
            </w:r>
          </w:p>
        </w:tc>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115874">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eastAsia="zh-CN"/>
              </w:rPr>
              <w:t>层</w:t>
            </w:r>
            <w:r>
              <w:rPr>
                <w:rFonts w:hint="eastAsia" w:ascii="宋体" w:hAnsi="宋体" w:eastAsia="宋体" w:cs="宋体"/>
                <w:b/>
                <w:bCs w:val="0"/>
                <w:color w:val="auto"/>
                <w:kern w:val="0"/>
                <w:sz w:val="21"/>
                <w:szCs w:val="21"/>
                <w:highlight w:val="none"/>
              </w:rPr>
              <w:t>位</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3874D6">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color w:val="auto"/>
                <w:kern w:val="0"/>
                <w:sz w:val="21"/>
                <w:szCs w:val="21"/>
                <w:highlight w:val="none"/>
                <w:lang w:eastAsia="zh-CN"/>
              </w:rPr>
              <w:t>距离地表深度（米）</w:t>
            </w:r>
          </w:p>
        </w:tc>
        <w:tc>
          <w:tcPr>
            <w:tcW w:w="22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4C3296">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lang w:val="en-US" w:eastAsia="zh-CN"/>
              </w:rPr>
              <w:t>土质、土色及包含物</w:t>
            </w:r>
          </w:p>
        </w:tc>
        <w:tc>
          <w:tcPr>
            <w:tcW w:w="9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DC2668">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堆积性</w:t>
            </w:r>
          </w:p>
          <w:p w14:paraId="19C9A2E6">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质初判</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497232">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堆积年</w:t>
            </w:r>
          </w:p>
          <w:p w14:paraId="42F0D49E">
            <w:pPr>
              <w:pStyle w:val="35"/>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代初判</w:t>
            </w:r>
          </w:p>
        </w:tc>
        <w:tc>
          <w:tcPr>
            <w:tcW w:w="39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513C5B">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备注</w:t>
            </w:r>
          </w:p>
        </w:tc>
      </w:tr>
      <w:tr w14:paraId="6969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6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70979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6A253849">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cs="宋体"/>
                <w:b/>
                <w:bCs w:val="0"/>
                <w:color w:val="auto"/>
                <w:kern w:val="0"/>
                <w:sz w:val="21"/>
                <w:szCs w:val="21"/>
                <w:highlight w:val="none"/>
                <w:lang w:val="en-US" w:eastAsia="zh-CN"/>
              </w:rPr>
              <w:t>X</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702F4EC0">
            <w:pPr>
              <w:pStyle w:val="35"/>
              <w:keepNext w:val="0"/>
              <w:keepLines w:val="0"/>
              <w:pageBreakBefore w:val="0"/>
              <w:widowControl/>
              <w:kinsoku/>
              <w:wordWrap/>
              <w:overflowPunct/>
              <w:topLinePunct w:val="0"/>
              <w:autoSpaceDE w:val="0"/>
              <w:autoSpaceDN w:val="0"/>
              <w:bidi w:val="0"/>
              <w:adjustRightInd/>
              <w:snapToGrid/>
              <w:spacing w:before="0" w:beforeAutospacing="0" w:line="240" w:lineRule="auto"/>
              <w:ind w:left="0" w:leftChars="0" w:right="369" w:rightChars="0" w:firstLine="0" w:firstLineChars="0"/>
              <w:jc w:val="center"/>
              <w:textAlignment w:val="auto"/>
              <w:rPr>
                <w:rFonts w:hint="eastAsia" w:ascii="宋体" w:hAnsi="宋体" w:eastAsia="宋体" w:cs="宋体"/>
                <w:b/>
                <w:bCs w:val="0"/>
                <w:color w:val="auto"/>
                <w:kern w:val="0"/>
                <w:sz w:val="21"/>
                <w:szCs w:val="21"/>
                <w:highlight w:val="none"/>
                <w:lang w:eastAsia="zh-CN"/>
              </w:rPr>
            </w:pPr>
            <w:r>
              <w:rPr>
                <w:rFonts w:hint="eastAsia" w:cs="宋体"/>
                <w:b/>
                <w:bCs w:val="0"/>
                <w:color w:val="auto"/>
                <w:kern w:val="0"/>
                <w:sz w:val="21"/>
                <w:szCs w:val="21"/>
                <w:highlight w:val="none"/>
                <w:lang w:val="en-US" w:eastAsia="zh-CN"/>
              </w:rPr>
              <w:t>Y</w:t>
            </w:r>
          </w:p>
        </w:tc>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FA8065">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8795BD">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22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E68E0B">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9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5FEFAA">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9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992A9">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c>
          <w:tcPr>
            <w:tcW w:w="390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7E5CFF">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360" w:firstLineChars="0"/>
              <w:jc w:val="center"/>
              <w:textAlignment w:val="auto"/>
              <w:rPr>
                <w:rFonts w:hint="eastAsia" w:ascii="宋体" w:hAnsi="宋体" w:eastAsia="宋体" w:cs="宋体"/>
                <w:color w:val="auto"/>
                <w:sz w:val="21"/>
                <w:szCs w:val="21"/>
                <w:highlight w:val="none"/>
              </w:rPr>
            </w:pPr>
          </w:p>
        </w:tc>
      </w:tr>
      <w:tr w14:paraId="6B80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8" w:hRule="exact"/>
        </w:trPr>
        <w:tc>
          <w:tcPr>
            <w:tcW w:w="643" w:type="dxa"/>
            <w:tcBorders>
              <w:top w:val="nil"/>
              <w:left w:val="single" w:color="auto" w:sz="4" w:space="0"/>
              <w:right w:val="single" w:color="auto" w:sz="4" w:space="0"/>
            </w:tcBorders>
            <w:shd w:val="clear" w:color="auto" w:fill="auto"/>
            <w:vAlign w:val="center"/>
          </w:tcPr>
          <w:p w14:paraId="1B0A7A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TK1</w:t>
            </w:r>
          </w:p>
        </w:tc>
        <w:tc>
          <w:tcPr>
            <w:tcW w:w="1662" w:type="dxa"/>
            <w:tcBorders>
              <w:top w:val="nil"/>
              <w:left w:val="single" w:color="auto" w:sz="4" w:space="0"/>
              <w:right w:val="single" w:color="auto" w:sz="4" w:space="0"/>
            </w:tcBorders>
            <w:shd w:val="clear" w:color="auto" w:fill="auto"/>
            <w:vAlign w:val="center"/>
          </w:tcPr>
          <w:p w14:paraId="705EE81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2577336.5008</w:t>
            </w:r>
          </w:p>
        </w:tc>
        <w:tc>
          <w:tcPr>
            <w:tcW w:w="1925" w:type="dxa"/>
            <w:tcBorders>
              <w:top w:val="nil"/>
              <w:left w:val="single" w:color="auto" w:sz="4" w:space="0"/>
              <w:right w:val="single" w:color="auto" w:sz="4" w:space="0"/>
            </w:tcBorders>
            <w:shd w:val="clear" w:color="auto" w:fill="auto"/>
            <w:vAlign w:val="center"/>
          </w:tcPr>
          <w:p w14:paraId="7E89406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486083.8631</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2F0700C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D0DA15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5162468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5A45335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5B98C8B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4754848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该层下为生土，勘探深至1.0米，红褐色黏土，土质致密、纯净</w:t>
            </w:r>
          </w:p>
        </w:tc>
      </w:tr>
      <w:tr w14:paraId="02AF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4" w:hRule="exact"/>
        </w:trPr>
        <w:tc>
          <w:tcPr>
            <w:tcW w:w="643" w:type="dxa"/>
            <w:tcBorders>
              <w:top w:val="nil"/>
              <w:left w:val="single" w:color="auto" w:sz="4" w:space="0"/>
              <w:right w:val="single" w:color="auto" w:sz="4" w:space="0"/>
            </w:tcBorders>
            <w:shd w:val="clear" w:color="auto" w:fill="auto"/>
            <w:vAlign w:val="center"/>
          </w:tcPr>
          <w:p w14:paraId="59C12A1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TK2</w:t>
            </w:r>
          </w:p>
        </w:tc>
        <w:tc>
          <w:tcPr>
            <w:tcW w:w="1662" w:type="dxa"/>
            <w:tcBorders>
              <w:top w:val="nil"/>
              <w:left w:val="single" w:color="auto" w:sz="4" w:space="0"/>
              <w:right w:val="single" w:color="auto" w:sz="4" w:space="0"/>
            </w:tcBorders>
            <w:shd w:val="clear" w:color="auto" w:fill="auto"/>
            <w:vAlign w:val="center"/>
          </w:tcPr>
          <w:p w14:paraId="5FDA52E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2577317.2116</w:t>
            </w:r>
          </w:p>
        </w:tc>
        <w:tc>
          <w:tcPr>
            <w:tcW w:w="1925" w:type="dxa"/>
            <w:tcBorders>
              <w:top w:val="nil"/>
              <w:left w:val="single" w:color="auto" w:sz="4" w:space="0"/>
              <w:right w:val="single" w:color="auto" w:sz="4" w:space="0"/>
            </w:tcBorders>
            <w:shd w:val="clear" w:color="auto" w:fill="auto"/>
            <w:vAlign w:val="center"/>
          </w:tcPr>
          <w:p w14:paraId="275CFAC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486105.4875</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7A27A3C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25FDDF7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0.4</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4E59DF1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3AFA822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41377E1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79896B8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该层下为生土，勘探深至1.0米，红褐色黏土，土质致密、纯净</w:t>
            </w:r>
          </w:p>
        </w:tc>
      </w:tr>
      <w:tr w14:paraId="2CB6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8" w:hRule="exact"/>
        </w:trPr>
        <w:tc>
          <w:tcPr>
            <w:tcW w:w="643" w:type="dxa"/>
            <w:tcBorders>
              <w:top w:val="nil"/>
              <w:left w:val="single" w:color="auto" w:sz="4" w:space="0"/>
              <w:right w:val="single" w:color="auto" w:sz="4" w:space="0"/>
            </w:tcBorders>
            <w:shd w:val="clear" w:color="auto" w:fill="auto"/>
            <w:vAlign w:val="center"/>
          </w:tcPr>
          <w:p w14:paraId="0A16E6D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TK3</w:t>
            </w:r>
          </w:p>
        </w:tc>
        <w:tc>
          <w:tcPr>
            <w:tcW w:w="1662" w:type="dxa"/>
            <w:tcBorders>
              <w:top w:val="nil"/>
              <w:left w:val="single" w:color="auto" w:sz="4" w:space="0"/>
              <w:right w:val="single" w:color="auto" w:sz="4" w:space="0"/>
            </w:tcBorders>
            <w:shd w:val="clear" w:color="auto" w:fill="auto"/>
            <w:vAlign w:val="center"/>
          </w:tcPr>
          <w:p w14:paraId="6ABE51A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2577297.0237</w:t>
            </w:r>
          </w:p>
        </w:tc>
        <w:tc>
          <w:tcPr>
            <w:tcW w:w="1925" w:type="dxa"/>
            <w:tcBorders>
              <w:top w:val="nil"/>
              <w:left w:val="single" w:color="auto" w:sz="4" w:space="0"/>
              <w:right w:val="single" w:color="auto" w:sz="4" w:space="0"/>
            </w:tcBorders>
            <w:shd w:val="clear" w:color="auto" w:fill="auto"/>
            <w:vAlign w:val="center"/>
          </w:tcPr>
          <w:p w14:paraId="7D1B448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486117.3552</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7CE9E3A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36A2C3C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0.05</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0271A8A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41DD4C4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55CC269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5476781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褐色黏土，土质致密、含风化石</w:t>
            </w:r>
          </w:p>
        </w:tc>
      </w:tr>
      <w:tr w14:paraId="3556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6" w:hRule="exact"/>
        </w:trPr>
        <w:tc>
          <w:tcPr>
            <w:tcW w:w="643" w:type="dxa"/>
            <w:tcBorders>
              <w:top w:val="nil"/>
              <w:left w:val="single" w:color="auto" w:sz="4" w:space="0"/>
              <w:right w:val="single" w:color="auto" w:sz="4" w:space="0"/>
            </w:tcBorders>
            <w:shd w:val="clear" w:color="auto" w:fill="auto"/>
            <w:vAlign w:val="center"/>
          </w:tcPr>
          <w:p w14:paraId="2A9B34B6">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TK4</w:t>
            </w:r>
          </w:p>
        </w:tc>
        <w:tc>
          <w:tcPr>
            <w:tcW w:w="1662" w:type="dxa"/>
            <w:tcBorders>
              <w:top w:val="nil"/>
              <w:left w:val="single" w:color="auto" w:sz="4" w:space="0"/>
              <w:right w:val="single" w:color="auto" w:sz="4" w:space="0"/>
            </w:tcBorders>
            <w:shd w:val="clear" w:color="auto" w:fill="auto"/>
            <w:vAlign w:val="center"/>
          </w:tcPr>
          <w:p w14:paraId="4C84672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2577288.3408</w:t>
            </w:r>
          </w:p>
        </w:tc>
        <w:tc>
          <w:tcPr>
            <w:tcW w:w="1925" w:type="dxa"/>
            <w:tcBorders>
              <w:top w:val="nil"/>
              <w:left w:val="single" w:color="auto" w:sz="4" w:space="0"/>
              <w:right w:val="single" w:color="auto" w:sz="4" w:space="0"/>
            </w:tcBorders>
            <w:shd w:val="clear" w:color="auto" w:fill="auto"/>
            <w:vAlign w:val="center"/>
          </w:tcPr>
          <w:p w14:paraId="1D7FD6B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486099.3229</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5F97B8A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6FA1B1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42D5B4D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1AEA946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0953833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single" w:color="auto" w:sz="4" w:space="0"/>
              <w:bottom w:val="single" w:color="auto" w:sz="4" w:space="0"/>
              <w:right w:val="single" w:color="auto" w:sz="4" w:space="0"/>
            </w:tcBorders>
            <w:shd w:val="clear" w:color="auto" w:fill="auto"/>
            <w:vAlign w:val="center"/>
          </w:tcPr>
          <w:p w14:paraId="433B918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褐色黏土，土质致密、含风化石</w:t>
            </w:r>
          </w:p>
        </w:tc>
      </w:tr>
      <w:tr w14:paraId="43D1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exact"/>
        </w:trPr>
        <w:tc>
          <w:tcPr>
            <w:tcW w:w="643" w:type="dxa"/>
            <w:tcBorders>
              <w:top w:val="single" w:color="auto" w:sz="4" w:space="0"/>
              <w:left w:val="single" w:color="auto" w:sz="4" w:space="0"/>
              <w:right w:val="single" w:color="auto" w:sz="4" w:space="0"/>
            </w:tcBorders>
            <w:shd w:val="clear" w:color="auto" w:fill="auto"/>
            <w:vAlign w:val="center"/>
          </w:tcPr>
          <w:p w14:paraId="0CE7E5A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TK5</w:t>
            </w:r>
          </w:p>
        </w:tc>
        <w:tc>
          <w:tcPr>
            <w:tcW w:w="1662" w:type="dxa"/>
            <w:tcBorders>
              <w:top w:val="single" w:color="auto" w:sz="4" w:space="0"/>
              <w:left w:val="single" w:color="auto" w:sz="4" w:space="0"/>
              <w:right w:val="single" w:color="auto" w:sz="4" w:space="0"/>
            </w:tcBorders>
            <w:shd w:val="clear" w:color="auto" w:fill="auto"/>
            <w:vAlign w:val="center"/>
          </w:tcPr>
          <w:p w14:paraId="7B5B583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2577266.9743</w:t>
            </w:r>
          </w:p>
        </w:tc>
        <w:tc>
          <w:tcPr>
            <w:tcW w:w="1925" w:type="dxa"/>
            <w:tcBorders>
              <w:top w:val="single" w:color="auto" w:sz="4" w:space="0"/>
              <w:left w:val="single" w:color="auto" w:sz="4" w:space="0"/>
              <w:right w:val="single" w:color="auto" w:sz="4" w:space="0"/>
            </w:tcBorders>
            <w:shd w:val="clear" w:color="auto" w:fill="auto"/>
            <w:vAlign w:val="center"/>
          </w:tcPr>
          <w:p w14:paraId="1FB8FF4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486078.7077</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57A8D5E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0AE8681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1</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14:paraId="52B8653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single" w:color="auto" w:sz="4" w:space="0"/>
              <w:bottom w:val="single" w:color="auto" w:sz="4" w:space="0"/>
              <w:right w:val="single" w:color="auto" w:sz="4" w:space="0"/>
            </w:tcBorders>
            <w:shd w:val="clear" w:color="auto" w:fill="auto"/>
            <w:vAlign w:val="center"/>
          </w:tcPr>
          <w:p w14:paraId="5529411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single" w:color="auto" w:sz="4" w:space="0"/>
              <w:bottom w:val="single" w:color="auto" w:sz="4" w:space="0"/>
              <w:right w:val="single" w:color="auto" w:sz="4" w:space="0"/>
            </w:tcBorders>
            <w:shd w:val="clear" w:color="auto" w:fill="auto"/>
            <w:vAlign w:val="center"/>
          </w:tcPr>
          <w:p w14:paraId="3A0DE04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single" w:color="auto" w:sz="4" w:space="0"/>
              <w:bottom w:val="single" w:color="auto" w:sz="4" w:space="0"/>
              <w:right w:val="single" w:color="auto" w:sz="4" w:space="0"/>
            </w:tcBorders>
            <w:shd w:val="clear" w:color="auto" w:fill="auto"/>
            <w:vAlign w:val="center"/>
          </w:tcPr>
          <w:p w14:paraId="253FAC5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00A3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3" w:hRule="exact"/>
        </w:trPr>
        <w:tc>
          <w:tcPr>
            <w:tcW w:w="643" w:type="dxa"/>
            <w:tcBorders>
              <w:top w:val="single" w:color="auto" w:sz="4" w:space="0"/>
              <w:left w:val="single" w:color="auto" w:sz="4" w:space="0"/>
              <w:right w:val="single" w:color="auto" w:sz="4" w:space="0"/>
            </w:tcBorders>
            <w:shd w:val="clear" w:color="auto" w:fill="auto"/>
            <w:vAlign w:val="center"/>
          </w:tcPr>
          <w:p w14:paraId="4AAFB46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TK6</w:t>
            </w:r>
          </w:p>
        </w:tc>
        <w:tc>
          <w:tcPr>
            <w:tcW w:w="1662" w:type="dxa"/>
            <w:tcBorders>
              <w:top w:val="single" w:color="auto" w:sz="4" w:space="0"/>
              <w:left w:val="nil"/>
              <w:right w:val="single" w:color="auto" w:sz="4" w:space="0"/>
            </w:tcBorders>
            <w:shd w:val="clear" w:color="auto" w:fill="auto"/>
            <w:vAlign w:val="center"/>
          </w:tcPr>
          <w:p w14:paraId="1D3F8B3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2577233.4869</w:t>
            </w:r>
          </w:p>
        </w:tc>
        <w:tc>
          <w:tcPr>
            <w:tcW w:w="1925" w:type="dxa"/>
            <w:tcBorders>
              <w:top w:val="single" w:color="auto" w:sz="4" w:space="0"/>
              <w:left w:val="nil"/>
              <w:right w:val="single" w:color="auto" w:sz="4" w:space="0"/>
            </w:tcBorders>
            <w:shd w:val="clear" w:color="auto" w:fill="auto"/>
            <w:vAlign w:val="center"/>
          </w:tcPr>
          <w:p w14:paraId="2A88A15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486099.0553</w:t>
            </w:r>
          </w:p>
        </w:tc>
        <w:tc>
          <w:tcPr>
            <w:tcW w:w="650" w:type="dxa"/>
            <w:tcBorders>
              <w:top w:val="single" w:color="auto" w:sz="4" w:space="0"/>
              <w:left w:val="nil"/>
              <w:bottom w:val="single" w:color="auto" w:sz="4" w:space="0"/>
              <w:right w:val="single" w:color="auto" w:sz="4" w:space="0"/>
            </w:tcBorders>
            <w:shd w:val="clear" w:color="auto" w:fill="auto"/>
            <w:vAlign w:val="center"/>
          </w:tcPr>
          <w:p w14:paraId="6FD4954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4E19493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2250" w:type="dxa"/>
            <w:tcBorders>
              <w:top w:val="single" w:color="auto" w:sz="4" w:space="0"/>
              <w:left w:val="nil"/>
              <w:bottom w:val="single" w:color="auto" w:sz="4" w:space="0"/>
              <w:right w:val="single" w:color="auto" w:sz="4" w:space="0"/>
            </w:tcBorders>
            <w:shd w:val="clear" w:color="auto" w:fill="auto"/>
            <w:vAlign w:val="center"/>
          </w:tcPr>
          <w:p w14:paraId="71B56B8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14BA045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4EB77E7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0B8B75C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该层下为生土，勘探深至1.0米，红褐色黏土，土质致密、纯净</w:t>
            </w:r>
          </w:p>
        </w:tc>
      </w:tr>
      <w:tr w14:paraId="36011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3" w:hRule="exact"/>
        </w:trPr>
        <w:tc>
          <w:tcPr>
            <w:tcW w:w="643" w:type="dxa"/>
            <w:tcBorders>
              <w:top w:val="single" w:color="auto" w:sz="4" w:space="0"/>
              <w:left w:val="single" w:color="auto" w:sz="4" w:space="0"/>
              <w:right w:val="single" w:color="auto" w:sz="4" w:space="0"/>
            </w:tcBorders>
            <w:shd w:val="clear" w:color="auto" w:fill="auto"/>
            <w:vAlign w:val="center"/>
          </w:tcPr>
          <w:p w14:paraId="5E2BE00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TK7</w:t>
            </w:r>
          </w:p>
        </w:tc>
        <w:tc>
          <w:tcPr>
            <w:tcW w:w="1662" w:type="dxa"/>
            <w:tcBorders>
              <w:top w:val="single" w:color="auto" w:sz="4" w:space="0"/>
              <w:left w:val="single" w:color="auto" w:sz="4" w:space="0"/>
              <w:right w:val="single" w:color="auto" w:sz="4" w:space="0"/>
            </w:tcBorders>
            <w:shd w:val="clear" w:color="auto" w:fill="auto"/>
            <w:vAlign w:val="center"/>
          </w:tcPr>
          <w:p w14:paraId="038F0BD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2577264.4795</w:t>
            </w:r>
          </w:p>
        </w:tc>
        <w:tc>
          <w:tcPr>
            <w:tcW w:w="1925" w:type="dxa"/>
            <w:tcBorders>
              <w:top w:val="single" w:color="auto" w:sz="4" w:space="0"/>
              <w:left w:val="single" w:color="auto" w:sz="4" w:space="0"/>
              <w:right w:val="single" w:color="auto" w:sz="4" w:space="0"/>
            </w:tcBorders>
            <w:shd w:val="clear" w:color="auto" w:fill="auto"/>
            <w:vAlign w:val="center"/>
          </w:tcPr>
          <w:p w14:paraId="07B0A9E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486112.9716</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1BFE6C3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047E2A7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w:t>
            </w:r>
          </w:p>
        </w:tc>
        <w:tc>
          <w:tcPr>
            <w:tcW w:w="2250" w:type="dxa"/>
            <w:tcBorders>
              <w:top w:val="single" w:color="auto" w:sz="4" w:space="0"/>
              <w:left w:val="nil"/>
              <w:bottom w:val="single" w:color="auto" w:sz="4" w:space="0"/>
              <w:right w:val="single" w:color="auto" w:sz="4" w:space="0"/>
            </w:tcBorders>
            <w:shd w:val="clear" w:color="auto" w:fill="auto"/>
            <w:vAlign w:val="center"/>
          </w:tcPr>
          <w:p w14:paraId="59314B2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4E4F83F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3595E063">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0FF38F2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1829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6" w:hRule="exact"/>
        </w:trPr>
        <w:tc>
          <w:tcPr>
            <w:tcW w:w="643" w:type="dxa"/>
            <w:tcBorders>
              <w:top w:val="single" w:color="auto" w:sz="4" w:space="0"/>
              <w:left w:val="single" w:color="auto" w:sz="4" w:space="0"/>
              <w:right w:val="single" w:color="auto" w:sz="4" w:space="0"/>
            </w:tcBorders>
            <w:shd w:val="clear" w:color="auto" w:fill="auto"/>
            <w:vAlign w:val="center"/>
          </w:tcPr>
          <w:p w14:paraId="2CC4A4F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TK8</w:t>
            </w:r>
          </w:p>
        </w:tc>
        <w:tc>
          <w:tcPr>
            <w:tcW w:w="1662" w:type="dxa"/>
            <w:tcBorders>
              <w:top w:val="single" w:color="auto" w:sz="4" w:space="0"/>
              <w:left w:val="nil"/>
              <w:right w:val="single" w:color="auto" w:sz="4" w:space="0"/>
            </w:tcBorders>
            <w:shd w:val="clear" w:color="auto" w:fill="auto"/>
            <w:vAlign w:val="center"/>
          </w:tcPr>
          <w:p w14:paraId="01F6074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2577253.1296</w:t>
            </w:r>
          </w:p>
        </w:tc>
        <w:tc>
          <w:tcPr>
            <w:tcW w:w="1925" w:type="dxa"/>
            <w:tcBorders>
              <w:top w:val="single" w:color="auto" w:sz="4" w:space="0"/>
              <w:left w:val="nil"/>
              <w:right w:val="single" w:color="auto" w:sz="4" w:space="0"/>
            </w:tcBorders>
            <w:shd w:val="clear" w:color="auto" w:fill="auto"/>
            <w:vAlign w:val="center"/>
          </w:tcPr>
          <w:p w14:paraId="16B5551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486135.4336</w:t>
            </w:r>
          </w:p>
        </w:tc>
        <w:tc>
          <w:tcPr>
            <w:tcW w:w="650" w:type="dxa"/>
            <w:tcBorders>
              <w:top w:val="single" w:color="auto" w:sz="4" w:space="0"/>
              <w:left w:val="nil"/>
              <w:bottom w:val="single" w:color="auto" w:sz="4" w:space="0"/>
              <w:right w:val="single" w:color="auto" w:sz="4" w:space="0"/>
            </w:tcBorders>
            <w:shd w:val="clear" w:color="auto" w:fill="auto"/>
            <w:vAlign w:val="center"/>
          </w:tcPr>
          <w:p w14:paraId="7EBA02D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55F0C82B">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0.15</w:t>
            </w:r>
          </w:p>
        </w:tc>
        <w:tc>
          <w:tcPr>
            <w:tcW w:w="2250" w:type="dxa"/>
            <w:tcBorders>
              <w:top w:val="single" w:color="auto" w:sz="4" w:space="0"/>
              <w:left w:val="nil"/>
              <w:bottom w:val="single" w:color="auto" w:sz="4" w:space="0"/>
              <w:right w:val="single" w:color="auto" w:sz="4" w:space="0"/>
            </w:tcBorders>
            <w:shd w:val="clear" w:color="auto" w:fill="auto"/>
            <w:vAlign w:val="center"/>
          </w:tcPr>
          <w:p w14:paraId="3A63EB5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5F724EBD">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6363FE0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nil"/>
              <w:left w:val="nil"/>
              <w:bottom w:val="single" w:color="auto" w:sz="4" w:space="0"/>
              <w:right w:val="single" w:color="auto" w:sz="4" w:space="0"/>
            </w:tcBorders>
            <w:shd w:val="clear" w:color="auto" w:fill="auto"/>
            <w:vAlign w:val="center"/>
          </w:tcPr>
          <w:p w14:paraId="2EFFA6BC">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47B8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1" w:hRule="exact"/>
        </w:trPr>
        <w:tc>
          <w:tcPr>
            <w:tcW w:w="643" w:type="dxa"/>
            <w:tcBorders>
              <w:top w:val="nil"/>
              <w:left w:val="single" w:color="auto" w:sz="4" w:space="0"/>
              <w:right w:val="single" w:color="auto" w:sz="4" w:space="0"/>
            </w:tcBorders>
            <w:shd w:val="clear" w:color="auto" w:fill="auto"/>
            <w:vAlign w:val="center"/>
          </w:tcPr>
          <w:p w14:paraId="2FAFAEA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TK9</w:t>
            </w:r>
          </w:p>
        </w:tc>
        <w:tc>
          <w:tcPr>
            <w:tcW w:w="1662" w:type="dxa"/>
            <w:tcBorders>
              <w:top w:val="nil"/>
              <w:left w:val="nil"/>
              <w:right w:val="single" w:color="auto" w:sz="4" w:space="0"/>
            </w:tcBorders>
            <w:shd w:val="clear" w:color="auto" w:fill="auto"/>
            <w:vAlign w:val="center"/>
          </w:tcPr>
          <w:p w14:paraId="475EED29">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2577288.8842</w:t>
            </w:r>
          </w:p>
        </w:tc>
        <w:tc>
          <w:tcPr>
            <w:tcW w:w="1925" w:type="dxa"/>
            <w:tcBorders>
              <w:top w:val="nil"/>
              <w:left w:val="nil"/>
              <w:right w:val="single" w:color="auto" w:sz="4" w:space="0"/>
            </w:tcBorders>
            <w:shd w:val="clear" w:color="auto" w:fill="auto"/>
            <w:vAlign w:val="center"/>
          </w:tcPr>
          <w:p w14:paraId="5A4382B7">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486141.7552</w:t>
            </w:r>
          </w:p>
        </w:tc>
        <w:tc>
          <w:tcPr>
            <w:tcW w:w="650" w:type="dxa"/>
            <w:tcBorders>
              <w:top w:val="single" w:color="auto" w:sz="4" w:space="0"/>
              <w:left w:val="nil"/>
              <w:bottom w:val="single" w:color="auto" w:sz="4" w:space="0"/>
              <w:right w:val="single" w:color="auto" w:sz="4" w:space="0"/>
            </w:tcBorders>
            <w:shd w:val="clear" w:color="auto" w:fill="auto"/>
            <w:vAlign w:val="center"/>
          </w:tcPr>
          <w:p w14:paraId="297D2AE2">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4DB637D5">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50" w:type="dxa"/>
            <w:tcBorders>
              <w:top w:val="single" w:color="auto" w:sz="4" w:space="0"/>
              <w:left w:val="nil"/>
              <w:bottom w:val="single" w:color="auto" w:sz="4" w:space="0"/>
              <w:right w:val="single" w:color="auto" w:sz="4" w:space="0"/>
            </w:tcBorders>
            <w:shd w:val="clear" w:color="auto" w:fill="auto"/>
            <w:vAlign w:val="center"/>
          </w:tcPr>
          <w:p w14:paraId="767CC8B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6C4F9C7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3ECC79B1">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3C3E1A04">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r w14:paraId="020E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5" w:hRule="exact"/>
        </w:trPr>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73A8954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color w:val="auto"/>
                <w:sz w:val="21"/>
                <w:szCs w:val="21"/>
                <w:highlight w:val="none"/>
                <w:lang w:val="en-US" w:eastAsia="zh-CN"/>
              </w:rPr>
              <w:t>TK10</w:t>
            </w:r>
          </w:p>
        </w:tc>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6B37E2F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2577264.1748</w:t>
            </w:r>
          </w:p>
        </w:tc>
        <w:tc>
          <w:tcPr>
            <w:tcW w:w="1925" w:type="dxa"/>
            <w:tcBorders>
              <w:top w:val="single" w:color="auto" w:sz="4" w:space="0"/>
              <w:left w:val="single" w:color="auto" w:sz="4" w:space="0"/>
              <w:bottom w:val="single" w:color="auto" w:sz="4" w:space="0"/>
              <w:right w:val="single" w:color="auto" w:sz="4" w:space="0"/>
            </w:tcBorders>
            <w:shd w:val="clear" w:color="auto" w:fill="auto"/>
            <w:vAlign w:val="center"/>
          </w:tcPr>
          <w:p w14:paraId="4E735D1F">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486164.7531</w:t>
            </w:r>
          </w:p>
        </w:tc>
        <w:tc>
          <w:tcPr>
            <w:tcW w:w="650" w:type="dxa"/>
            <w:tcBorders>
              <w:top w:val="single" w:color="auto" w:sz="4" w:space="0"/>
              <w:left w:val="nil"/>
              <w:bottom w:val="single" w:color="auto" w:sz="4" w:space="0"/>
              <w:right w:val="single" w:color="auto" w:sz="4" w:space="0"/>
            </w:tcBorders>
            <w:shd w:val="clear" w:color="auto" w:fill="auto"/>
            <w:vAlign w:val="center"/>
          </w:tcPr>
          <w:p w14:paraId="7150D57E">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en-US"/>
              </w:rPr>
              <w:t>①</w:t>
            </w:r>
          </w:p>
        </w:tc>
        <w:tc>
          <w:tcPr>
            <w:tcW w:w="1050" w:type="dxa"/>
            <w:tcBorders>
              <w:top w:val="single" w:color="auto" w:sz="4" w:space="0"/>
              <w:left w:val="nil"/>
              <w:bottom w:val="single" w:color="auto" w:sz="4" w:space="0"/>
              <w:right w:val="single" w:color="auto" w:sz="4" w:space="0"/>
            </w:tcBorders>
            <w:shd w:val="clear" w:color="auto" w:fill="auto"/>
            <w:vAlign w:val="center"/>
          </w:tcPr>
          <w:p w14:paraId="187F2300">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0.2</w:t>
            </w:r>
          </w:p>
        </w:tc>
        <w:tc>
          <w:tcPr>
            <w:tcW w:w="2250" w:type="dxa"/>
            <w:tcBorders>
              <w:top w:val="single" w:color="auto" w:sz="4" w:space="0"/>
              <w:left w:val="nil"/>
              <w:bottom w:val="single" w:color="auto" w:sz="4" w:space="0"/>
              <w:right w:val="single" w:color="auto" w:sz="4" w:space="0"/>
            </w:tcBorders>
            <w:shd w:val="clear" w:color="auto" w:fill="auto"/>
            <w:vAlign w:val="center"/>
          </w:tcPr>
          <w:p w14:paraId="246828C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灰褐色黏土，土质疏松，包含植物根茎</w:t>
            </w:r>
          </w:p>
        </w:tc>
        <w:tc>
          <w:tcPr>
            <w:tcW w:w="950" w:type="dxa"/>
            <w:tcBorders>
              <w:top w:val="single" w:color="auto" w:sz="4" w:space="0"/>
              <w:left w:val="nil"/>
              <w:bottom w:val="single" w:color="auto" w:sz="4" w:space="0"/>
              <w:right w:val="single" w:color="auto" w:sz="4" w:space="0"/>
            </w:tcBorders>
            <w:shd w:val="clear" w:color="auto" w:fill="auto"/>
            <w:vAlign w:val="center"/>
          </w:tcPr>
          <w:p w14:paraId="05358CE8">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表土</w:t>
            </w:r>
          </w:p>
        </w:tc>
        <w:tc>
          <w:tcPr>
            <w:tcW w:w="962" w:type="dxa"/>
            <w:tcBorders>
              <w:top w:val="single" w:color="auto" w:sz="4" w:space="0"/>
              <w:left w:val="nil"/>
              <w:bottom w:val="single" w:color="auto" w:sz="4" w:space="0"/>
              <w:right w:val="single" w:color="auto" w:sz="4" w:space="0"/>
            </w:tcBorders>
            <w:shd w:val="clear" w:color="auto" w:fill="auto"/>
            <w:vAlign w:val="center"/>
          </w:tcPr>
          <w:p w14:paraId="15B18DB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现代</w:t>
            </w:r>
          </w:p>
        </w:tc>
        <w:tc>
          <w:tcPr>
            <w:tcW w:w="3903" w:type="dxa"/>
            <w:tcBorders>
              <w:top w:val="single" w:color="auto" w:sz="4" w:space="0"/>
              <w:left w:val="nil"/>
              <w:bottom w:val="single" w:color="auto" w:sz="4" w:space="0"/>
              <w:right w:val="single" w:color="auto" w:sz="4" w:space="0"/>
            </w:tcBorders>
            <w:shd w:val="clear" w:color="auto" w:fill="auto"/>
            <w:vAlign w:val="center"/>
          </w:tcPr>
          <w:p w14:paraId="15D30E3A">
            <w:pPr>
              <w:keepNext w:val="0"/>
              <w:keepLines w:val="0"/>
              <w:pageBreakBefore w:val="0"/>
              <w:widowControl/>
              <w:kinsoku/>
              <w:wordWrap/>
              <w:overflowPunct/>
              <w:topLinePunct w:val="0"/>
              <w:bidi w:val="0"/>
              <w:adjustRightInd/>
              <w:snapToGrid/>
              <w:spacing w:beforeLines="0" w:afterLines="0"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该层下为生土，勘探深至1.0米，</w:t>
            </w:r>
            <w:r>
              <w:rPr>
                <w:rFonts w:hint="eastAsia" w:ascii="宋体" w:hAnsi="宋体" w:cs="宋体"/>
                <w:color w:val="auto"/>
                <w:sz w:val="21"/>
                <w:szCs w:val="21"/>
                <w:highlight w:val="none"/>
                <w:lang w:val="en-US" w:eastAsia="zh-CN"/>
              </w:rPr>
              <w:t>黄</w:t>
            </w:r>
            <w:r>
              <w:rPr>
                <w:rFonts w:hint="eastAsia" w:ascii="宋体" w:hAnsi="宋体" w:eastAsia="宋体" w:cs="宋体"/>
                <w:color w:val="auto"/>
                <w:sz w:val="21"/>
                <w:szCs w:val="21"/>
                <w:highlight w:val="none"/>
                <w:lang w:val="en-US" w:eastAsia="zh-CN"/>
              </w:rPr>
              <w:t>褐色黏土，土质致密、纯净</w:t>
            </w:r>
          </w:p>
        </w:tc>
      </w:tr>
    </w:tbl>
    <w:p w14:paraId="0020FA5E">
      <w:pPr>
        <w:ind w:left="0" w:leftChars="0" w:firstLine="0" w:firstLineChars="0"/>
        <w:rPr>
          <w:rFonts w:hint="eastAsia" w:ascii="Times New Roman" w:hAnsi="Times New Roman" w:cs="Times New Roman"/>
          <w:color w:val="auto"/>
          <w:spacing w:val="-4"/>
          <w:sz w:val="28"/>
          <w:szCs w:val="28"/>
          <w:highlight w:val="yellow"/>
          <w:lang w:eastAsia="zh-CN"/>
        </w:rPr>
        <w:sectPr>
          <w:foot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cs="Times New Roman"/>
          <w:color w:val="auto"/>
          <w:spacing w:val="-4"/>
          <w:sz w:val="28"/>
          <w:szCs w:val="28"/>
          <w:highlight w:val="yellow"/>
          <w:lang w:eastAsia="zh-CN"/>
        </w:rPr>
        <w:br w:type="page"/>
      </w:r>
    </w:p>
    <w:bookmarkEnd w:id="101"/>
    <w:bookmarkEnd w:id="102"/>
    <w:bookmarkEnd w:id="103"/>
    <w:bookmarkEnd w:id="104"/>
    <w:bookmarkEnd w:id="105"/>
    <w:bookmarkEnd w:id="106"/>
    <w:bookmarkEnd w:id="107"/>
    <w:p w14:paraId="615B5A49">
      <w:pPr>
        <w:pStyle w:val="2"/>
        <w:ind w:left="0" w:leftChars="0" w:firstLine="0" w:firstLineChars="0"/>
        <w:jc w:val="left"/>
        <w:rPr>
          <w:rFonts w:hint="default" w:cs="Times New Roman"/>
          <w:b/>
          <w:bCs/>
          <w:color w:val="auto"/>
          <w:kern w:val="0"/>
          <w:sz w:val="28"/>
          <w:szCs w:val="30"/>
          <w:lang w:val="en-US" w:eastAsia="zh-CN" w:bidi="en-US"/>
        </w:rPr>
      </w:pPr>
      <w:bookmarkStart w:id="108" w:name="_Toc23061"/>
      <w:bookmarkEnd w:id="108"/>
      <w:bookmarkStart w:id="109" w:name="_Toc22982"/>
      <w:bookmarkEnd w:id="109"/>
      <w:bookmarkStart w:id="110" w:name="_Toc5497"/>
      <w:bookmarkEnd w:id="110"/>
      <w:bookmarkStart w:id="111" w:name="_Toc9663"/>
      <w:bookmarkEnd w:id="111"/>
      <w:bookmarkStart w:id="112" w:name="_Toc26145"/>
      <w:bookmarkStart w:id="113" w:name="_Toc13747"/>
      <w:r>
        <w:rPr>
          <w:rFonts w:hint="eastAsia" w:cs="Times New Roman"/>
          <w:b/>
          <w:bCs/>
          <w:color w:val="auto"/>
          <w:kern w:val="0"/>
          <w:sz w:val="28"/>
          <w:szCs w:val="30"/>
          <w:lang w:val="en-US" w:eastAsia="zh-CN" w:bidi="en-US"/>
        </w:rPr>
        <w:t>附录一</w:t>
      </w:r>
      <w:bookmarkEnd w:id="112"/>
      <w:r>
        <w:rPr>
          <w:rFonts w:hint="eastAsia" w:cs="Times New Roman"/>
          <w:b/>
          <w:bCs/>
          <w:color w:val="auto"/>
          <w:kern w:val="0"/>
          <w:sz w:val="28"/>
          <w:szCs w:val="30"/>
          <w:lang w:val="en-US" w:eastAsia="zh-CN" w:bidi="en-US"/>
        </w:rPr>
        <w:t xml:space="preserve">  </w:t>
      </w:r>
    </w:p>
    <w:p w14:paraId="3ED973C7">
      <w:pPr>
        <w:ind w:left="0" w:leftChars="0" w:firstLine="0" w:firstLineChars="0"/>
        <w:jc w:val="center"/>
        <w:rPr>
          <w:color w:val="auto"/>
        </w:rPr>
      </w:pPr>
      <w:r>
        <w:rPr>
          <w:color w:val="auto"/>
        </w:rPr>
        <w:drawing>
          <wp:inline distT="0" distB="0" distL="114300" distR="114300">
            <wp:extent cx="5235575" cy="7379970"/>
            <wp:effectExtent l="9525" t="9525" r="12700" b="20955"/>
            <wp:docPr id="10" name="图片 1" descr="D:/1-小陈/1-上传/87-增城区增江街五星村38.548亩地块                计划书/增城区增江街五星村38.548亩地块/7、公文/广州市文物局关于增城区2025年度第二批地块考古调查勘探工作的复函4753_00.jpg广州市文物局关于增城区2025年度第二批地块考古调查勘探工作的复函475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1-小陈/1-上传/87-增城区增江街五星村38.548亩地块                计划书/增城区增江街五星村38.548亩地块/7、公文/广州市文物局关于增城区2025年度第二批地块考古调查勘探工作的复函4753_00.jpg广州市文物局关于增城区2025年度第二批地块考古调查勘探工作的复函4753_00"/>
                    <pic:cNvPicPr>
                      <a:picLocks noChangeAspect="1"/>
                    </pic:cNvPicPr>
                  </pic:nvPicPr>
                  <pic:blipFill>
                    <a:blip r:embed="rId64"/>
                    <a:srcRect t="170" b="170"/>
                    <a:stretch>
                      <a:fillRect/>
                    </a:stretch>
                  </pic:blipFill>
                  <pic:spPr>
                    <a:xfrm>
                      <a:off x="0" y="0"/>
                      <a:ext cx="5235575" cy="7379970"/>
                    </a:xfrm>
                    <a:prstGeom prst="rect">
                      <a:avLst/>
                    </a:prstGeom>
                    <a:noFill/>
                    <a:ln>
                      <a:solidFill>
                        <a:schemeClr val="tx1"/>
                      </a:solidFill>
                    </a:ln>
                  </pic:spPr>
                </pic:pic>
              </a:graphicData>
            </a:graphic>
          </wp:inline>
        </w:drawing>
      </w:r>
    </w:p>
    <w:p w14:paraId="5978A3F8">
      <w:pPr>
        <w:rPr>
          <w:color w:val="auto"/>
        </w:rPr>
      </w:pPr>
      <w:r>
        <w:rPr>
          <w:color w:val="auto"/>
        </w:rPr>
        <w:br w:type="page"/>
      </w:r>
    </w:p>
    <w:p w14:paraId="5DAF88AF">
      <w:pPr>
        <w:pStyle w:val="17"/>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color w:val="auto"/>
        </w:rPr>
      </w:pPr>
    </w:p>
    <w:p w14:paraId="1A2E3E93">
      <w:pPr>
        <w:pStyle w:val="17"/>
        <w:ind w:left="0" w:leftChars="0" w:firstLine="0" w:firstLineChars="0"/>
        <w:jc w:val="center"/>
        <w:rPr>
          <w:color w:val="auto"/>
        </w:rPr>
      </w:pPr>
      <w:r>
        <w:rPr>
          <w:color w:val="auto"/>
        </w:rPr>
        <w:drawing>
          <wp:inline distT="0" distB="0" distL="114300" distR="114300">
            <wp:extent cx="5230495" cy="7379970"/>
            <wp:effectExtent l="9525" t="9525" r="17780" b="20955"/>
            <wp:docPr id="18" name="图片 2" descr="D:/1-小陈/1-上传/87-增城区增江街五星村38.548亩地块                计划书/增城区增江街五星村38.548亩地块/7、公文/广州市文物局关于增城区2025年度第二批地块考古调查勘探工作的复函4753_01.jpg广州市文物局关于增城区2025年度第二批地块考古调查勘探工作的复函475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1-小陈/1-上传/87-增城区增江街五星村38.548亩地块                计划书/增城区增江街五星村38.548亩地块/7、公文/广州市文物局关于增城区2025年度第二批地块考古调查勘探工作的复函4753_01.jpg广州市文物局关于增城区2025年度第二批地块考古调查勘探工作的复函4753_01"/>
                    <pic:cNvPicPr>
                      <a:picLocks noChangeAspect="1"/>
                    </pic:cNvPicPr>
                  </pic:nvPicPr>
                  <pic:blipFill>
                    <a:blip r:embed="rId65"/>
                    <a:srcRect t="121" b="121"/>
                    <a:stretch>
                      <a:fillRect/>
                    </a:stretch>
                  </pic:blipFill>
                  <pic:spPr>
                    <a:xfrm>
                      <a:off x="0" y="0"/>
                      <a:ext cx="5230495" cy="7379970"/>
                    </a:xfrm>
                    <a:prstGeom prst="rect">
                      <a:avLst/>
                    </a:prstGeom>
                    <a:noFill/>
                    <a:ln>
                      <a:solidFill>
                        <a:schemeClr val="tx1"/>
                      </a:solidFill>
                    </a:ln>
                  </pic:spPr>
                </pic:pic>
              </a:graphicData>
            </a:graphic>
          </wp:inline>
        </w:drawing>
      </w:r>
    </w:p>
    <w:p w14:paraId="00F3F8D9">
      <w:pPr>
        <w:rPr>
          <w:color w:val="auto"/>
        </w:rPr>
      </w:pPr>
      <w:r>
        <w:rPr>
          <w:color w:val="auto"/>
        </w:rPr>
        <w:br w:type="page"/>
      </w:r>
    </w:p>
    <w:p w14:paraId="34C70DCA">
      <w:pPr>
        <w:pStyle w:val="2"/>
        <w:ind w:left="0" w:leftChars="0" w:firstLine="0" w:firstLineChars="0"/>
        <w:jc w:val="left"/>
        <w:rPr>
          <w:rFonts w:hint="default" w:ascii="宋体" w:hAnsi="宋体"/>
          <w:color w:val="auto"/>
          <w:sz w:val="24"/>
          <w:szCs w:val="24"/>
          <w:lang w:val="en-US" w:eastAsia="zh-CN"/>
        </w:rPr>
      </w:pPr>
      <w:bookmarkStart w:id="114" w:name="_Toc1686150459"/>
      <w:bookmarkStart w:id="115" w:name="_Toc32023"/>
      <w:r>
        <w:rPr>
          <w:rFonts w:hint="eastAsia" w:ascii="Calibri Light" w:hAnsi="Calibri Light" w:eastAsia="宋体" w:cs="Times New Roman"/>
          <w:b/>
          <w:bCs/>
          <w:color w:val="auto"/>
          <w:kern w:val="0"/>
          <w:sz w:val="28"/>
          <w:szCs w:val="30"/>
          <w:lang w:val="en-US" w:eastAsia="zh-CN" w:bidi="en-US"/>
        </w:rPr>
        <w:t>附录</w:t>
      </w:r>
      <w:bookmarkEnd w:id="114"/>
      <w:r>
        <w:rPr>
          <w:rFonts w:hint="eastAsia" w:ascii="Calibri Light" w:hAnsi="Calibri Light" w:cs="Times New Roman"/>
          <w:b/>
          <w:bCs/>
          <w:color w:val="auto"/>
          <w:kern w:val="0"/>
          <w:sz w:val="28"/>
          <w:szCs w:val="30"/>
          <w:lang w:val="en-US" w:eastAsia="zh-CN" w:bidi="en-US"/>
        </w:rPr>
        <w:t>二</w:t>
      </w:r>
      <w:bookmarkEnd w:id="115"/>
      <w:r>
        <w:rPr>
          <w:rFonts w:hint="eastAsia" w:ascii="宋体" w:hAnsi="宋体"/>
          <w:color w:val="auto"/>
          <w:sz w:val="24"/>
          <w:szCs w:val="24"/>
          <w:lang w:val="en-US" w:eastAsia="zh-CN"/>
        </w:rPr>
        <w:t xml:space="preserve">  </w:t>
      </w:r>
    </w:p>
    <w:bookmarkEnd w:id="113"/>
    <w:p w14:paraId="1B87C52F">
      <w:pPr>
        <w:autoSpaceDE w:val="0"/>
        <w:autoSpaceDN w:val="0"/>
        <w:spacing w:line="360" w:lineRule="auto"/>
        <w:ind w:left="0" w:leftChars="0" w:firstLine="0" w:firstLineChars="0"/>
        <w:jc w:val="both"/>
        <w:rPr>
          <w:rFonts w:hint="eastAsia"/>
          <w:color w:val="auto"/>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仿宋_GB2312"/>
          <w:b/>
          <w:bCs/>
          <w:color w:val="auto"/>
          <w:sz w:val="28"/>
          <w:szCs w:val="28"/>
          <w:lang w:eastAsia="zh-CN"/>
        </w:rPr>
        <w:drawing>
          <wp:inline distT="0" distB="0" distL="114300" distR="114300">
            <wp:extent cx="5697855" cy="4030345"/>
            <wp:effectExtent l="9525" t="9525" r="26670" b="17780"/>
            <wp:docPr id="99" name="图片 99" descr="D:/1-小陈/王森/考古发掘资质证书.jpg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D:/1-小陈/王森/考古发掘资质证书.jpg考古发掘资质证书"/>
                    <pic:cNvPicPr>
                      <a:picLocks noChangeAspect="1"/>
                    </pic:cNvPicPr>
                  </pic:nvPicPr>
                  <pic:blipFill>
                    <a:blip r:embed="rId66"/>
                    <a:srcRect l="8" r="8"/>
                    <a:stretch>
                      <a:fillRect/>
                    </a:stretch>
                  </pic:blipFill>
                  <pic:spPr>
                    <a:xfrm>
                      <a:off x="0" y="0"/>
                      <a:ext cx="5697855" cy="4030345"/>
                    </a:xfrm>
                    <a:prstGeom prst="rect">
                      <a:avLst/>
                    </a:prstGeom>
                    <a:ln>
                      <a:solidFill>
                        <a:schemeClr val="tx1"/>
                      </a:solidFill>
                    </a:ln>
                  </pic:spPr>
                </pic:pic>
              </a:graphicData>
            </a:graphic>
          </wp:inline>
        </w:drawing>
      </w:r>
    </w:p>
    <w:p w14:paraId="6432871C">
      <w:pPr>
        <w:keepNext/>
        <w:keepLines/>
        <w:widowControl/>
        <w:spacing w:before="0" w:after="0" w:line="360" w:lineRule="auto"/>
        <w:ind w:left="0" w:leftChars="0" w:firstLine="0" w:firstLineChars="0"/>
        <w:jc w:val="both"/>
        <w:outlineLvl w:val="0"/>
        <w:rPr>
          <w:rFonts w:hint="eastAsia" w:ascii="Times New Roman" w:hAnsi="Times New Roman" w:eastAsia="宋体" w:cs="Times New Roman"/>
          <w:b/>
          <w:bCs/>
          <w:color w:val="auto"/>
          <w:kern w:val="44"/>
          <w:sz w:val="28"/>
          <w:szCs w:val="44"/>
          <w:lang w:val="en-US" w:eastAsia="zh-CN" w:bidi="en-US"/>
        </w:rPr>
      </w:pPr>
      <w:bookmarkStart w:id="116" w:name="_Toc14696"/>
      <w:bookmarkStart w:id="117" w:name="_Toc17124"/>
      <w:bookmarkStart w:id="118" w:name="_Toc13368"/>
      <w:bookmarkStart w:id="119" w:name="_Toc24482"/>
      <w:bookmarkStart w:id="120" w:name="_Toc11346"/>
      <w:bookmarkStart w:id="121" w:name="_Toc25755"/>
      <w:bookmarkStart w:id="122" w:name="_Toc28829"/>
      <w:bookmarkStart w:id="123" w:name="_Toc4746"/>
      <w:bookmarkStart w:id="124" w:name="_Toc705"/>
      <w:bookmarkStart w:id="125" w:name="_Toc11649"/>
      <w:bookmarkStart w:id="126" w:name="_Toc3759"/>
      <w:bookmarkStart w:id="127" w:name="_Toc14937"/>
      <w:bookmarkStart w:id="128" w:name="_Toc10393"/>
      <w:bookmarkStart w:id="129" w:name="_Toc9347"/>
      <w:bookmarkStart w:id="130" w:name="_Toc18485"/>
      <w:r>
        <w:rPr>
          <w:rFonts w:hint="eastAsia" w:ascii="Times New Roman" w:hAnsi="Times New Roman" w:eastAsia="宋体" w:cs="Times New Roman"/>
          <w:b/>
          <w:bCs/>
          <w:color w:val="auto"/>
          <w:kern w:val="44"/>
          <w:sz w:val="28"/>
          <w:szCs w:val="44"/>
          <w:lang w:val="en-US" w:eastAsia="zh-CN" w:bidi="en-US"/>
        </w:rPr>
        <w:t>附录</w:t>
      </w:r>
      <w:bookmarkEnd w:id="116"/>
      <w:bookmarkStart w:id="131" w:name="_Toc7988"/>
      <w:bookmarkStart w:id="132" w:name="_Toc2581"/>
      <w:bookmarkStart w:id="133" w:name="_Toc29804"/>
      <w:bookmarkStart w:id="134" w:name="_Toc21680"/>
      <w:bookmarkStart w:id="135" w:name="_Toc16559"/>
      <w:r>
        <w:rPr>
          <w:rFonts w:hint="eastAsia" w:ascii="Times New Roman" w:hAnsi="Times New Roman" w:eastAsia="宋体" w:cs="Times New Roman"/>
          <w:b/>
          <w:bCs/>
          <w:color w:val="auto"/>
          <w:kern w:val="44"/>
          <w:sz w:val="28"/>
          <w:szCs w:val="44"/>
          <w:lang w:val="en-US" w:eastAsia="zh-CN" w:bidi="en-US"/>
        </w:rPr>
        <w:t>三  文物保护法规（节选）</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BFF609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cs="Times New Roman"/>
          <w:b/>
          <w:bCs/>
          <w:color w:val="auto"/>
          <w:sz w:val="30"/>
          <w:szCs w:val="30"/>
          <w:lang w:eastAsia="zh-CN"/>
        </w:rPr>
      </w:pPr>
      <w:r>
        <w:rPr>
          <w:rFonts w:hint="eastAsia" w:ascii="宋体" w:hAnsi="宋体" w:cs="Times New Roman"/>
          <w:b/>
          <w:bCs/>
          <w:color w:val="auto"/>
          <w:sz w:val="30"/>
          <w:szCs w:val="30"/>
          <w:lang w:eastAsia="zh-CN"/>
        </w:rPr>
        <w:t>《中华人民共和国文物保护法》</w:t>
      </w:r>
    </w:p>
    <w:p w14:paraId="17A41E9F">
      <w:pPr>
        <w:widowControl/>
        <w:spacing w:line="360" w:lineRule="auto"/>
        <w:ind w:firstLine="480" w:firstLineChars="200"/>
        <w:jc w:val="left"/>
        <w:rPr>
          <w:rFonts w:ascii="宋体" w:hAnsi="宋体" w:cs="宋体"/>
          <w:bCs/>
          <w:color w:val="auto"/>
          <w:sz w:val="24"/>
          <w:szCs w:val="24"/>
        </w:rPr>
      </w:pPr>
      <w:r>
        <w:rPr>
          <w:rFonts w:hint="eastAsia" w:ascii="宋体" w:hAnsi="宋体" w:cs="宋体"/>
          <w:color w:val="auto"/>
          <w:kern w:val="0"/>
          <w:sz w:val="24"/>
          <w:szCs w:val="24"/>
          <w:lang w:bidi="ar"/>
        </w:rPr>
        <w:t>（20</w:t>
      </w:r>
      <w:r>
        <w:rPr>
          <w:rFonts w:hint="eastAsia" w:ascii="宋体" w:hAnsi="宋体" w:cs="宋体"/>
          <w:color w:val="auto"/>
          <w:kern w:val="0"/>
          <w:sz w:val="24"/>
          <w:szCs w:val="24"/>
          <w:lang w:val="en-US" w:eastAsia="zh-CN" w:bidi="ar"/>
        </w:rPr>
        <w:t>24</w:t>
      </w:r>
      <w:r>
        <w:rPr>
          <w:rFonts w:hint="eastAsia" w:ascii="宋体" w:hAnsi="宋体" w:cs="宋体"/>
          <w:color w:val="auto"/>
          <w:kern w:val="0"/>
          <w:sz w:val="24"/>
          <w:szCs w:val="24"/>
          <w:lang w:bidi="ar"/>
        </w:rPr>
        <w:t>年11月</w:t>
      </w:r>
      <w:r>
        <w:rPr>
          <w:rFonts w:hint="eastAsia" w:ascii="宋体" w:hAnsi="宋体" w:cs="宋体"/>
          <w:color w:val="auto"/>
          <w:kern w:val="0"/>
          <w:sz w:val="24"/>
          <w:szCs w:val="24"/>
          <w:lang w:val="en-US" w:eastAsia="zh-CN" w:bidi="ar"/>
        </w:rPr>
        <w:t>8</w:t>
      </w:r>
      <w:r>
        <w:rPr>
          <w:rFonts w:hint="eastAsia" w:ascii="宋体" w:hAnsi="宋体" w:cs="宋体"/>
          <w:color w:val="auto"/>
          <w:kern w:val="0"/>
          <w:sz w:val="24"/>
          <w:szCs w:val="24"/>
          <w:lang w:bidi="ar"/>
        </w:rPr>
        <w:t>日第十</w:t>
      </w:r>
      <w:r>
        <w:rPr>
          <w:rFonts w:hint="eastAsia" w:ascii="宋体" w:hAnsi="宋体" w:cs="宋体"/>
          <w:color w:val="auto"/>
          <w:kern w:val="0"/>
          <w:sz w:val="24"/>
          <w:szCs w:val="24"/>
          <w:lang w:eastAsia="zh-CN" w:bidi="ar"/>
        </w:rPr>
        <w:t>四</w:t>
      </w:r>
      <w:r>
        <w:rPr>
          <w:rFonts w:hint="eastAsia" w:ascii="宋体" w:hAnsi="宋体" w:cs="宋体"/>
          <w:color w:val="auto"/>
          <w:kern w:val="0"/>
          <w:sz w:val="24"/>
          <w:szCs w:val="24"/>
          <w:lang w:bidi="ar"/>
        </w:rPr>
        <w:t>届全国人民代表大会常务委员会第</w:t>
      </w:r>
      <w:r>
        <w:rPr>
          <w:rFonts w:hint="eastAsia" w:ascii="宋体" w:hAnsi="宋体" w:cs="宋体"/>
          <w:color w:val="auto"/>
          <w:kern w:val="0"/>
          <w:sz w:val="24"/>
          <w:szCs w:val="24"/>
          <w:lang w:eastAsia="zh-CN" w:bidi="ar"/>
        </w:rPr>
        <w:t>十二</w:t>
      </w:r>
      <w:r>
        <w:rPr>
          <w:rFonts w:hint="eastAsia" w:ascii="宋体" w:hAnsi="宋体" w:cs="宋体"/>
          <w:color w:val="auto"/>
          <w:kern w:val="0"/>
          <w:sz w:val="24"/>
          <w:szCs w:val="24"/>
          <w:lang w:bidi="ar"/>
        </w:rPr>
        <w:t>次会议</w:t>
      </w:r>
      <w:r>
        <w:rPr>
          <w:rFonts w:hint="eastAsia" w:ascii="宋体" w:hAnsi="宋体" w:cs="宋体"/>
          <w:color w:val="auto"/>
          <w:kern w:val="0"/>
          <w:sz w:val="24"/>
          <w:szCs w:val="24"/>
          <w:lang w:eastAsia="zh-CN" w:bidi="ar"/>
        </w:rPr>
        <w:t>第二次修订</w:t>
      </w:r>
      <w:r>
        <w:rPr>
          <w:rFonts w:hint="eastAsia" w:ascii="宋体" w:hAnsi="宋体" w:cs="宋体"/>
          <w:color w:val="auto"/>
          <w:kern w:val="0"/>
          <w:sz w:val="24"/>
          <w:szCs w:val="24"/>
          <w:lang w:bidi="ar"/>
        </w:rPr>
        <w:t>）</w:t>
      </w:r>
    </w:p>
    <w:p w14:paraId="21AFE84D">
      <w:pPr>
        <w:widowControl/>
        <w:spacing w:line="360" w:lineRule="auto"/>
        <w:ind w:firstLine="498" w:firstLineChars="177"/>
        <w:jc w:val="left"/>
        <w:rPr>
          <w:rFonts w:ascii="宋体" w:hAnsi="宋体" w:cs="宋体"/>
          <w:b/>
          <w:color w:val="auto"/>
          <w:sz w:val="28"/>
          <w:szCs w:val="28"/>
        </w:rPr>
      </w:pPr>
      <w:r>
        <w:rPr>
          <w:rFonts w:hint="eastAsia" w:ascii="宋体" w:hAnsi="宋体" w:cs="宋体"/>
          <w:b/>
          <w:color w:val="auto"/>
          <w:kern w:val="0"/>
          <w:sz w:val="28"/>
          <w:szCs w:val="28"/>
          <w:lang w:bidi="ar"/>
        </w:rPr>
        <w:t>第三章·考古发掘·</w:t>
      </w:r>
    </w:p>
    <w:p w14:paraId="2B4D01EE">
      <w:pPr>
        <w:widowControl/>
        <w:spacing w:line="360" w:lineRule="auto"/>
        <w:ind w:firstLine="482" w:firstLineChars="200"/>
        <w:jc w:val="left"/>
        <w:rPr>
          <w:rFonts w:hint="eastAsia" w:ascii="宋体" w:hAnsi="宋体" w:cs="宋体"/>
          <w:bCs/>
          <w:color w:val="auto"/>
          <w:kern w:val="0"/>
          <w:sz w:val="24"/>
          <w:szCs w:val="24"/>
          <w:lang w:bidi="ar"/>
        </w:rPr>
      </w:pPr>
      <w:r>
        <w:rPr>
          <w:rFonts w:hint="eastAsia" w:ascii="宋体" w:hAnsi="宋体" w:cs="宋体"/>
          <w:b/>
          <w:color w:val="auto"/>
          <w:kern w:val="0"/>
          <w:sz w:val="24"/>
          <w:szCs w:val="24"/>
          <w:lang w:bidi="ar"/>
        </w:rPr>
        <w:t>第</w:t>
      </w:r>
      <w:r>
        <w:rPr>
          <w:rFonts w:hint="eastAsia" w:ascii="宋体" w:hAnsi="宋体" w:cs="宋体"/>
          <w:b/>
          <w:color w:val="auto"/>
          <w:kern w:val="0"/>
          <w:sz w:val="24"/>
          <w:szCs w:val="24"/>
          <w:lang w:eastAsia="zh-CN" w:bidi="ar"/>
        </w:rPr>
        <w:t>四十三</w:t>
      </w:r>
      <w:r>
        <w:rPr>
          <w:rFonts w:hint="eastAsia" w:ascii="宋体" w:hAnsi="宋体" w:cs="宋体"/>
          <w:b/>
          <w:color w:val="auto"/>
          <w:kern w:val="0"/>
          <w:sz w:val="24"/>
          <w:szCs w:val="24"/>
          <w:lang w:bidi="ar"/>
        </w:rPr>
        <w:t>条</w:t>
      </w:r>
      <w:r>
        <w:rPr>
          <w:rFonts w:hint="eastAsia" w:ascii="宋体" w:hAnsi="宋体" w:cs="宋体"/>
          <w:bCs/>
          <w:color w:val="auto"/>
          <w:kern w:val="0"/>
          <w:sz w:val="24"/>
          <w:szCs w:val="24"/>
          <w:lang w:bidi="ar"/>
        </w:rPr>
        <w:t xml:space="preserve">  在可能存在地下文物的区域，县级以上地方人民政府进行土地出让或者划拨前，应当由省、自治区、直辖市人民政府文物行政部门组织从事考古发掘的单位进行考古调查、勘探。可能存在地下文物的区域，由省、自治区、直辖市人民政府文物行政部门及时划定并动态调整。</w:t>
      </w:r>
    </w:p>
    <w:p w14:paraId="3F1E7966">
      <w:pPr>
        <w:widowControl/>
        <w:spacing w:line="360" w:lineRule="auto"/>
        <w:ind w:firstLine="480" w:firstLineChars="200"/>
        <w:jc w:val="left"/>
        <w:rPr>
          <w:rFonts w:hint="eastAsia" w:ascii="宋体" w:hAnsi="宋体" w:cs="宋体"/>
          <w:bCs/>
          <w:color w:val="auto"/>
          <w:kern w:val="0"/>
          <w:sz w:val="24"/>
          <w:szCs w:val="24"/>
          <w:lang w:eastAsia="zh-CN" w:bidi="ar"/>
        </w:rPr>
      </w:pPr>
      <w:r>
        <w:rPr>
          <w:rFonts w:hint="eastAsia" w:ascii="宋体" w:hAnsi="宋体" w:cs="宋体"/>
          <w:bCs/>
          <w:color w:val="auto"/>
          <w:kern w:val="0"/>
          <w:sz w:val="24"/>
          <w:szCs w:val="24"/>
          <w:lang w:eastAsia="zh-CN" w:bidi="ar"/>
        </w:rPr>
        <w:t>进行大型基本建设工程，或者在文物保护单位的保护范围、建设控制地带内进行建设工程，未依照前款规定进行考古调查、勘探的，建设单位应当事先报请省、自治区、直辖市人民政府文物行政部门组织从事考古发掘的单位在工程范围内有可能埋藏文物的地方进行考古调查、勘探。</w:t>
      </w:r>
    </w:p>
    <w:p w14:paraId="5E9B196E">
      <w:pPr>
        <w:widowControl/>
        <w:spacing w:line="360" w:lineRule="auto"/>
        <w:ind w:firstLine="480" w:firstLineChars="200"/>
        <w:jc w:val="left"/>
        <w:rPr>
          <w:rFonts w:hint="eastAsia" w:ascii="宋体" w:hAnsi="宋体" w:cs="宋体"/>
          <w:bCs/>
          <w:color w:val="auto"/>
          <w:kern w:val="0"/>
          <w:sz w:val="24"/>
          <w:szCs w:val="24"/>
          <w:lang w:eastAsia="zh-CN" w:bidi="ar"/>
        </w:rPr>
      </w:pPr>
      <w:r>
        <w:rPr>
          <w:rFonts w:hint="eastAsia" w:ascii="宋体" w:hAnsi="宋体" w:cs="宋体"/>
          <w:bCs/>
          <w:color w:val="auto"/>
          <w:kern w:val="0"/>
          <w:sz w:val="24"/>
          <w:szCs w:val="24"/>
          <w:lang w:eastAsia="zh-CN" w:bidi="ar"/>
        </w:rPr>
        <w:t>考古调查、勘探中发现文物的，由省、自治区、直辖市人民政府文物行政部门根据文物保护的要求与建设单位共同商定保护措施；遇有重要发现的，由省、自治区、直辖市人民政府文物行政部门及时报国务院文物行政部门处理。由此导致停工或者工期延长，造成建设单位损失的，由县级以上地方人民政府文物行政部门会同有关部门听取建设单位意见后，提出处理意见，报本级人民政府批准。</w:t>
      </w:r>
    </w:p>
    <w:p w14:paraId="047F66AC">
      <w:pPr>
        <w:widowControl/>
        <w:spacing w:line="360" w:lineRule="auto"/>
        <w:ind w:firstLine="482" w:firstLineChars="200"/>
        <w:jc w:val="left"/>
        <w:rPr>
          <w:rFonts w:hint="eastAsia" w:ascii="宋体" w:hAnsi="宋体" w:cs="宋体"/>
          <w:bCs/>
          <w:color w:val="auto"/>
          <w:kern w:val="0"/>
          <w:sz w:val="24"/>
          <w:szCs w:val="24"/>
          <w:lang w:bidi="ar"/>
        </w:rPr>
      </w:pPr>
      <w:r>
        <w:rPr>
          <w:rFonts w:hint="eastAsia" w:ascii="宋体" w:hAnsi="宋体" w:cs="宋体"/>
          <w:b/>
          <w:color w:val="auto"/>
          <w:kern w:val="0"/>
          <w:sz w:val="24"/>
          <w:szCs w:val="24"/>
          <w:lang w:bidi="ar"/>
        </w:rPr>
        <w:t>第</w:t>
      </w:r>
      <w:r>
        <w:rPr>
          <w:rFonts w:hint="eastAsia" w:ascii="宋体" w:hAnsi="宋体" w:cs="宋体"/>
          <w:b/>
          <w:color w:val="auto"/>
          <w:kern w:val="0"/>
          <w:sz w:val="24"/>
          <w:szCs w:val="24"/>
          <w:lang w:eastAsia="zh-CN" w:bidi="ar"/>
        </w:rPr>
        <w:t>四十四</w:t>
      </w:r>
      <w:r>
        <w:rPr>
          <w:rFonts w:hint="eastAsia" w:ascii="宋体" w:hAnsi="宋体" w:cs="宋体"/>
          <w:b/>
          <w:color w:val="auto"/>
          <w:kern w:val="0"/>
          <w:sz w:val="24"/>
          <w:szCs w:val="24"/>
          <w:lang w:bidi="ar"/>
        </w:rPr>
        <w:t xml:space="preserve">条  </w:t>
      </w:r>
      <w:r>
        <w:rPr>
          <w:rFonts w:hint="eastAsia" w:ascii="宋体" w:hAnsi="宋体" w:cs="宋体"/>
          <w:bCs/>
          <w:color w:val="auto"/>
          <w:kern w:val="0"/>
          <w:sz w:val="24"/>
          <w:szCs w:val="24"/>
          <w:lang w:bidi="ar"/>
        </w:rPr>
        <w:t>需要配合进行考古发掘工作的，省、自治区、直辖市人民政府文物行政部门应当在勘探工作的基础上提出发掘计划，报国务院文物行政部门批准。国务院文物行政部门在批准前，应当征求社会科学研究机构及其他科研机构和有关专家的意见。</w:t>
      </w:r>
    </w:p>
    <w:p w14:paraId="6BB6D050">
      <w:pPr>
        <w:widowControl/>
        <w:spacing w:line="360" w:lineRule="auto"/>
        <w:ind w:firstLine="480" w:firstLineChars="200"/>
        <w:jc w:val="left"/>
        <w:rPr>
          <w:rFonts w:ascii="宋体" w:hAnsi="宋体" w:cs="宋体"/>
          <w:bCs/>
          <w:color w:val="auto"/>
          <w:sz w:val="24"/>
          <w:szCs w:val="24"/>
        </w:rPr>
      </w:pPr>
      <w:r>
        <w:rPr>
          <w:rFonts w:hint="eastAsia" w:ascii="宋体" w:hAnsi="宋体" w:cs="宋体"/>
          <w:bCs/>
          <w:color w:val="auto"/>
          <w:kern w:val="0"/>
          <w:sz w:val="24"/>
          <w:szCs w:val="24"/>
          <w:lang w:bidi="ar"/>
        </w:rPr>
        <w:t>确因建设工期紧迫或者有自然破坏危险，对古文化遗址、古墓葬急需进行抢救发掘的，由省、自治区、直辖市人民政府文物行政部门组织发掘，并同时补办审批手续。</w:t>
      </w:r>
    </w:p>
    <w:p w14:paraId="72C7D193">
      <w:pPr>
        <w:widowControl/>
        <w:spacing w:line="360" w:lineRule="auto"/>
        <w:ind w:firstLine="482" w:firstLineChars="200"/>
        <w:jc w:val="left"/>
        <w:rPr>
          <w:rFonts w:hint="eastAsia" w:ascii="宋体" w:hAnsi="宋体" w:cs="宋体"/>
          <w:bCs/>
          <w:color w:val="auto"/>
          <w:kern w:val="0"/>
          <w:sz w:val="24"/>
          <w:szCs w:val="24"/>
          <w:lang w:bidi="ar"/>
        </w:rPr>
      </w:pPr>
      <w:r>
        <w:rPr>
          <w:rFonts w:hint="eastAsia" w:ascii="宋体" w:hAnsi="宋体" w:cs="宋体"/>
          <w:b/>
          <w:color w:val="auto"/>
          <w:kern w:val="0"/>
          <w:sz w:val="24"/>
          <w:szCs w:val="24"/>
          <w:lang w:bidi="ar"/>
        </w:rPr>
        <w:t>第</w:t>
      </w:r>
      <w:r>
        <w:rPr>
          <w:rFonts w:hint="eastAsia" w:ascii="宋体" w:hAnsi="宋体" w:cs="宋体"/>
          <w:b/>
          <w:color w:val="auto"/>
          <w:kern w:val="0"/>
          <w:sz w:val="24"/>
          <w:szCs w:val="24"/>
          <w:lang w:eastAsia="zh-CN" w:bidi="ar"/>
        </w:rPr>
        <w:t>四十五</w:t>
      </w:r>
      <w:r>
        <w:rPr>
          <w:rFonts w:hint="eastAsia" w:ascii="宋体" w:hAnsi="宋体" w:cs="宋体"/>
          <w:b/>
          <w:color w:val="auto"/>
          <w:kern w:val="0"/>
          <w:sz w:val="24"/>
          <w:szCs w:val="24"/>
          <w:lang w:bidi="ar"/>
        </w:rPr>
        <w:t>条</w:t>
      </w:r>
      <w:r>
        <w:rPr>
          <w:rFonts w:hint="eastAsia" w:ascii="宋体" w:hAnsi="宋体" w:cs="宋体"/>
          <w:bCs/>
          <w:color w:val="auto"/>
          <w:kern w:val="0"/>
          <w:sz w:val="24"/>
          <w:szCs w:val="24"/>
          <w:lang w:bidi="ar"/>
        </w:rPr>
        <w:t xml:space="preserve">  凡因进行基本建设和生产建设需要的考古调查、勘探、发掘，所需费用由建设单位列入建设工程预算。</w:t>
      </w:r>
    </w:p>
    <w:p w14:paraId="2B5DF0C1">
      <w:pPr>
        <w:widowControl/>
        <w:spacing w:line="360" w:lineRule="auto"/>
        <w:ind w:firstLine="480" w:firstLineChars="200"/>
        <w:jc w:val="left"/>
        <w:rPr>
          <w:rFonts w:ascii="宋体" w:hAnsi="宋体" w:cs="宋体"/>
          <w:bCs/>
          <w:color w:val="auto"/>
          <w:sz w:val="24"/>
          <w:szCs w:val="24"/>
        </w:rPr>
      </w:pPr>
      <w:r>
        <w:rPr>
          <w:rFonts w:hint="eastAsia" w:ascii="宋体" w:hAnsi="宋体" w:cs="宋体"/>
          <w:bCs/>
          <w:color w:val="auto"/>
          <w:kern w:val="0"/>
          <w:sz w:val="24"/>
          <w:szCs w:val="24"/>
          <w:lang w:bidi="ar"/>
        </w:rPr>
        <w:t>县级以上人民政府可以通过适当方式对考古调查、勘探、发掘工作给予支持。</w:t>
      </w:r>
    </w:p>
    <w:p w14:paraId="261A5813">
      <w:pPr>
        <w:widowControl w:val="0"/>
        <w:spacing w:after="120"/>
        <w:ind w:left="440" w:leftChars="200" w:firstLine="420" w:firstLineChars="200"/>
        <w:jc w:val="both"/>
        <w:rPr>
          <w:rFonts w:hint="eastAsia" w:ascii="Calibri" w:hAnsi="Calibri" w:eastAsia="宋体" w:cs="Times New Roman"/>
          <w:color w:val="auto"/>
          <w:kern w:val="2"/>
          <w:sz w:val="21"/>
          <w:szCs w:val="22"/>
          <w:lang w:val="en-US" w:eastAsia="zh-CN" w:bidi="ar-SA"/>
        </w:rPr>
      </w:pPr>
    </w:p>
    <w:p w14:paraId="18F3C81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602" w:firstLineChars="200"/>
        <w:jc w:val="both"/>
        <w:textAlignment w:val="auto"/>
        <w:outlineLvl w:val="9"/>
        <w:rPr>
          <w:rFonts w:hint="eastAsia" w:ascii="楷体" w:hAnsi="楷体" w:eastAsia="楷体" w:cs="楷体"/>
          <w:color w:val="auto"/>
          <w:sz w:val="24"/>
          <w:szCs w:val="24"/>
          <w:lang w:val="en-US" w:eastAsia="zh-CN"/>
        </w:rPr>
      </w:pPr>
      <w:r>
        <w:rPr>
          <w:rFonts w:hint="eastAsia" w:ascii="宋体" w:hAnsi="宋体" w:cs="Times New Roman"/>
          <w:b/>
          <w:bCs w:val="0"/>
          <w:color w:val="auto"/>
          <w:sz w:val="30"/>
          <w:szCs w:val="30"/>
          <w:lang w:val="en-US" w:eastAsia="zh-CN"/>
        </w:rPr>
        <w:t>《广州市文物保护规定》</w:t>
      </w:r>
      <w:r>
        <w:rPr>
          <w:rFonts w:hint="eastAsia" w:ascii="楷体" w:hAnsi="楷体" w:eastAsia="楷体" w:cs="楷体"/>
          <w:color w:val="auto"/>
          <w:kern w:val="0"/>
          <w:sz w:val="24"/>
          <w:szCs w:val="24"/>
          <w:lang w:val="en-US" w:eastAsia="zh-CN"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14:paraId="433D1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val="0"/>
          <w:color w:val="auto"/>
          <w:kern w:val="0"/>
          <w:sz w:val="24"/>
          <w:szCs w:val="24"/>
          <w:lang w:val="en-US" w:eastAsia="zh-CN" w:bidi="ar"/>
        </w:rPr>
        <w:t xml:space="preserve">第三十二条 </w:t>
      </w:r>
      <w:r>
        <w:rPr>
          <w:rFonts w:hint="eastAsia" w:ascii="宋体" w:hAnsi="宋体" w:eastAsia="宋体" w:cs="宋体"/>
          <w:color w:val="auto"/>
          <w:kern w:val="0"/>
          <w:sz w:val="24"/>
          <w:szCs w:val="24"/>
          <w:lang w:val="en-US" w:eastAsia="zh-CN" w:bidi="ar"/>
        </w:rPr>
        <w:t>在地下文物埋藏区进行工程建设或者在地下文物埋藏区以外进行大型工程建设前，应当按照下列规定进行考古调查、勘探、发掘：</w:t>
      </w:r>
    </w:p>
    <w:p w14:paraId="13EBFC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（一）属于出让国有建设用地使用权的，在出让该地块前，应当进行考古调查、勘探，所需经费按财政分级的原则，分别在市文物保护专项资金中安排或者由区财政承担；</w:t>
      </w:r>
    </w:p>
    <w:p w14:paraId="31D68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（二）属于划拨国有建设用地使用权的，应当在工程项目建议书或者可行性研究阶段进行考古调查、勘探，所需经费由市财政承担；</w:t>
      </w:r>
    </w:p>
    <w:p w14:paraId="0CBE5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（三）本规定生效之前已经取得土地使用权，但尚未进行考古调查、勘探的，建设单位应当依法申请考古调查、勘探，所需经费由市财政承担。</w:t>
      </w:r>
    </w:p>
    <w:p w14:paraId="67E009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未按照前款第（一）项或者第（二）项规定进行考古调查、勘探的，不得出让或者划拨土地。未按照前款第（三）项规定进行考古调查、勘探的，建设单位不得开工建设。</w:t>
      </w:r>
    </w:p>
    <w:p w14:paraId="43A045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第三十三条</w:t>
      </w:r>
      <w:r>
        <w:rPr>
          <w:rFonts w:hint="eastAsia" w:ascii="宋体" w:hAnsi="宋体" w:eastAsia="宋体" w:cs="宋体"/>
          <w:color w:val="auto"/>
          <w:kern w:val="0"/>
          <w:sz w:val="24"/>
          <w:szCs w:val="24"/>
          <w:lang w:val="en-US" w:eastAsia="zh-CN" w:bidi="ar"/>
        </w:rPr>
        <w:t xml:space="preserve"> 本规定第三十二条规定的大型建设工程包括下列工程：</w:t>
      </w:r>
    </w:p>
    <w:p w14:paraId="08795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（一）在越秀区、海珠区、荔湾区、天河区、白云区辖区内进行的建设工程项目，占地面积一万平方米以上；</w:t>
      </w:r>
    </w:p>
    <w:p w14:paraId="29982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（二）在花都区、番禺区、南沙区、黄埔区、从化区、增城区辖区内进行的建设工程项目，占地面积三万平方米以上；</w:t>
      </w:r>
    </w:p>
    <w:p w14:paraId="04AE2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（三）在本市行政区域内新建或者扩建道路、桥梁、高速路、地铁、管网等重大线形工程。</w:t>
      </w:r>
    </w:p>
    <w:p w14:paraId="5E0853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14:paraId="2CA77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第三十四条</w:t>
      </w:r>
      <w:r>
        <w:rPr>
          <w:rFonts w:hint="eastAsia" w:ascii="宋体" w:hAnsi="宋体" w:eastAsia="宋体" w:cs="宋体"/>
          <w:color w:val="auto"/>
          <w:kern w:val="0"/>
          <w:sz w:val="24"/>
          <w:szCs w:val="24"/>
          <w:lang w:val="en-US" w:eastAsia="zh-CN"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0707E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在文物行政主管部门提出处理意见前，任何单位和个人不得破坏现场。经文物行政主管部门确认需要保留的不可移动文物，任何单位和个人不得损毁或者改变文物原状。</w:t>
      </w:r>
    </w:p>
    <w:p w14:paraId="57A5E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第三十五条</w:t>
      </w:r>
      <w:r>
        <w:rPr>
          <w:rFonts w:hint="eastAsia" w:ascii="宋体" w:hAnsi="宋体" w:eastAsia="宋体" w:cs="宋体"/>
          <w:color w:val="auto"/>
          <w:kern w:val="0"/>
          <w:sz w:val="24"/>
          <w:szCs w:val="24"/>
          <w:lang w:val="en-US" w:eastAsia="zh-CN" w:bidi="ar"/>
        </w:rPr>
        <w:t xml:space="preserve"> 经文物考古调查、勘探，发掘出重要文物的区域，文物行政主管部门可以会同规划行政管理部门划定临时禁止建设区。</w:t>
      </w:r>
    </w:p>
    <w:p w14:paraId="17634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 xml:space="preserve">第四十三条 </w:t>
      </w:r>
      <w:r>
        <w:rPr>
          <w:rFonts w:hint="eastAsia" w:ascii="宋体" w:hAnsi="宋体" w:eastAsia="宋体" w:cs="宋体"/>
          <w:color w:val="auto"/>
          <w:kern w:val="0"/>
          <w:sz w:val="24"/>
          <w:szCs w:val="24"/>
          <w:lang w:val="en-US" w:eastAsia="zh-CN" w:bidi="ar"/>
        </w:rPr>
        <w:t>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4078CD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（一）违反本规定第五条第三款规定，未定期对文物保护单位进行巡查的；</w:t>
      </w:r>
    </w:p>
    <w:p w14:paraId="5F2B0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（二）违反本规定第九条规定，未按照规定用途使用文物保护专项资金或者未在规定期限内将使用情况向社会公布的；</w:t>
      </w:r>
    </w:p>
    <w:p w14:paraId="05BD6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（三）违反本规定第二十五条规定，未在规定期限内划出并公布文物保护单位的建设控制地带的；</w:t>
      </w:r>
    </w:p>
    <w:p w14:paraId="2A135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（四）违反本规定第二十六条规定，未在规定期限内划出临时保护范围或者临时建设控制地带的；</w:t>
      </w:r>
    </w:p>
    <w:p w14:paraId="39DA7B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（五）违反本规定第二十九条第一款规定，规划行政管理部门在编制城乡规划时，涉及不可移动文物或者地下埋藏区未征求文物行政主管部门的意见或者文物行政主管部门未在规定期限内答复的；</w:t>
      </w:r>
    </w:p>
    <w:p w14:paraId="70C6BE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（六）违反本规定第三十条第一款规定，未组织编制文物保护单位的保护规划的；</w:t>
      </w:r>
    </w:p>
    <w:p w14:paraId="1A2F0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（七）违反本规定第三十条第二款规定，未将已批准的文物保护单位的保护规划、保护范围和建设控制地带以及地下文物埋藏区的保护控制要求纳入城市控制性详细规划的；</w:t>
      </w:r>
    </w:p>
    <w:p w14:paraId="6ADD2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（八）违反本规定第三十二条规定，出让或者划拨未进行考古调查、勘探的国有建设用地使用权的；</w:t>
      </w:r>
    </w:p>
    <w:p w14:paraId="495157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（九）违反本规定第三十九条规定，不前往现场予以协助的；</w:t>
      </w:r>
    </w:p>
    <w:p w14:paraId="5F5EF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（十）其他滥用职权、玩忽职守、徇私舞弊的。</w:t>
      </w:r>
    </w:p>
    <w:p w14:paraId="24F210B0">
      <w:pPr>
        <w:keepNext w:val="0"/>
        <w:keepLines w:val="0"/>
        <w:pageBreakBefore w:val="0"/>
        <w:widowControl/>
        <w:kinsoku/>
        <w:wordWrap/>
        <w:overflowPunct/>
        <w:topLinePunct w:val="0"/>
        <w:autoSpaceDE w:val="0"/>
        <w:autoSpaceDN w:val="0"/>
        <w:bidi w:val="0"/>
        <w:adjustRightInd/>
        <w:snapToGrid/>
        <w:spacing w:line="360" w:lineRule="auto"/>
        <w:ind w:firstLine="482" w:firstLineChars="200"/>
        <w:jc w:val="both"/>
        <w:textAlignment w:val="auto"/>
        <w:outlineLvl w:val="9"/>
        <w:rPr>
          <w:color w:val="auto"/>
        </w:rPr>
      </w:pPr>
      <w:r>
        <w:rPr>
          <w:rFonts w:hint="eastAsia" w:ascii="宋体" w:hAnsi="宋体" w:eastAsia="宋体" w:cs="宋体"/>
          <w:b/>
          <w:bCs w:val="0"/>
          <w:color w:val="auto"/>
          <w:kern w:val="0"/>
          <w:sz w:val="24"/>
          <w:szCs w:val="24"/>
          <w:lang w:val="en-US" w:eastAsia="zh-CN" w:bidi="ar"/>
        </w:rPr>
        <w:t xml:space="preserve">第四十七条 </w:t>
      </w:r>
      <w:r>
        <w:rPr>
          <w:rFonts w:hint="eastAsia" w:ascii="宋体" w:hAnsi="宋体" w:eastAsia="宋体" w:cs="宋体"/>
          <w:b w:val="0"/>
          <w:bCs/>
          <w:color w:val="auto"/>
          <w:kern w:val="0"/>
          <w:sz w:val="24"/>
          <w:szCs w:val="24"/>
          <w:lang w:val="en-US" w:eastAsia="zh-CN" w:bidi="ar"/>
        </w:rPr>
        <w:t>违反本规定第三十二条第二款规定，未经文物考古调查、勘探擅自开工建设的，由文物执法机构责令停止施工限期办理文物考古调查、勘探手续，逾期不办理手续，造成严重后果的，处以十万元以上五十万元以下罚款。</w:t>
      </w:r>
    </w:p>
    <w:p w14:paraId="5515DDC7">
      <w:pPr>
        <w:rPr>
          <w:rFonts w:ascii="宋体" w:hAnsi="宋体"/>
          <w:color w:val="auto"/>
          <w:sz w:val="24"/>
          <w:szCs w:val="24"/>
        </w:rPr>
      </w:pPr>
      <w:r>
        <w:rPr>
          <w:rFonts w:ascii="宋体" w:hAnsi="宋体"/>
          <w:color w:val="auto"/>
          <w:sz w:val="24"/>
          <w:szCs w:val="24"/>
        </w:rPr>
        <w:br w:type="page"/>
      </w:r>
    </w:p>
    <w:p w14:paraId="0C6144BC">
      <w:pPr>
        <w:keepNext/>
        <w:keepLines/>
        <w:widowControl/>
        <w:spacing w:before="0" w:after="0" w:line="360" w:lineRule="auto"/>
        <w:ind w:left="0" w:leftChars="0" w:firstLine="0" w:firstLineChars="0"/>
        <w:jc w:val="both"/>
        <w:outlineLvl w:val="0"/>
        <w:rPr>
          <w:rFonts w:hint="eastAsia" w:ascii="宋体" w:hAnsi="宋体" w:eastAsia="宋体" w:cs="仿宋_GB2312"/>
          <w:b/>
          <w:bCs/>
          <w:color w:val="auto"/>
          <w:kern w:val="44"/>
          <w:sz w:val="24"/>
          <w:szCs w:val="24"/>
          <w:lang w:val="en-US" w:eastAsia="zh-CN" w:bidi="ar-SA"/>
        </w:rPr>
      </w:pPr>
      <w:bookmarkStart w:id="136" w:name="_Toc28521"/>
      <w:bookmarkStart w:id="137" w:name="_Toc763"/>
      <w:bookmarkStart w:id="138" w:name="_Toc25251"/>
      <w:bookmarkStart w:id="139" w:name="_Toc25996"/>
      <w:bookmarkStart w:id="140" w:name="_Toc16965"/>
      <w:bookmarkStart w:id="141" w:name="_Toc14249"/>
      <w:bookmarkStart w:id="142" w:name="_Toc3342"/>
      <w:bookmarkStart w:id="143" w:name="_Toc20277"/>
      <w:bookmarkStart w:id="144" w:name="_Toc11330"/>
      <w:bookmarkStart w:id="145" w:name="_Toc25174"/>
      <w:r>
        <w:rPr>
          <w:rFonts w:hint="eastAsia" w:ascii="Times New Roman" w:hAnsi="Times New Roman" w:eastAsia="宋体" w:cs="Times New Roman"/>
          <w:b/>
          <w:bCs/>
          <w:color w:val="auto"/>
          <w:kern w:val="44"/>
          <w:sz w:val="28"/>
          <w:szCs w:val="44"/>
          <w:lang w:val="en-US" w:eastAsia="zh-CN" w:bidi="en-US"/>
        </w:rPr>
        <w:t>附录</w:t>
      </w:r>
      <w:bookmarkEnd w:id="136"/>
      <w:r>
        <w:rPr>
          <w:rFonts w:hint="eastAsia" w:ascii="Times New Roman" w:hAnsi="Times New Roman" w:eastAsia="宋体" w:cs="Times New Roman"/>
          <w:b/>
          <w:bCs/>
          <w:color w:val="auto"/>
          <w:kern w:val="44"/>
          <w:sz w:val="28"/>
          <w:szCs w:val="44"/>
          <w:lang w:val="en-US" w:eastAsia="zh-CN" w:bidi="en-US"/>
        </w:rPr>
        <w:t>四</w:t>
      </w:r>
      <w:bookmarkStart w:id="146" w:name="_Toc16081"/>
      <w:bookmarkStart w:id="147" w:name="_Toc26181"/>
      <w:bookmarkStart w:id="148" w:name="_Toc28088"/>
      <w:bookmarkStart w:id="149" w:name="_Toc29478"/>
      <w:bookmarkStart w:id="150" w:name="_Toc31772"/>
      <w:r>
        <w:rPr>
          <w:rFonts w:hint="eastAsia" w:ascii="Times New Roman" w:hAnsi="Times New Roman" w:eastAsia="宋体" w:cs="Times New Roman"/>
          <w:b/>
          <w:bCs/>
          <w:color w:val="auto"/>
          <w:kern w:val="44"/>
          <w:sz w:val="28"/>
          <w:szCs w:val="44"/>
          <w:lang w:val="en-US" w:eastAsia="zh-CN" w:bidi="en-US"/>
        </w:rPr>
        <w:t xml:space="preserve">  关于本报告使用的专业术语、概念和标准的说明</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89B4F39">
      <w:pPr>
        <w:widowControl w:val="0"/>
        <w:autoSpaceDE w:val="0"/>
        <w:autoSpaceDN w:val="0"/>
        <w:spacing w:line="360" w:lineRule="auto"/>
        <w:ind w:firstLine="480" w:firstLineChars="200"/>
        <w:jc w:val="both"/>
        <w:rPr>
          <w:rFonts w:ascii="宋体" w:hAnsi="宋体"/>
          <w:color w:val="auto"/>
          <w:sz w:val="24"/>
          <w:szCs w:val="24"/>
          <w:lang w:eastAsia="zh-CN"/>
        </w:rPr>
      </w:pPr>
      <w:r>
        <w:rPr>
          <w:rFonts w:hint="eastAsia" w:ascii="宋体" w:hAnsi="宋体" w:cs="仿宋_GB2312"/>
          <w:color w:val="auto"/>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14:paraId="1574A479">
      <w:pPr>
        <w:widowControl w:val="0"/>
        <w:autoSpaceDE w:val="0"/>
        <w:autoSpaceDN w:val="0"/>
        <w:spacing w:line="360" w:lineRule="auto"/>
        <w:ind w:firstLine="482" w:firstLineChars="0"/>
        <w:rPr>
          <w:rFonts w:ascii="宋体" w:hAnsi="宋体"/>
          <w:b/>
          <w:bCs/>
          <w:color w:val="auto"/>
          <w:sz w:val="24"/>
          <w:szCs w:val="24"/>
          <w:lang w:eastAsia="zh-CN"/>
        </w:rPr>
      </w:pPr>
      <w:r>
        <w:rPr>
          <w:rFonts w:ascii="宋体" w:hAnsi="宋体" w:cs="仿宋_GB2312"/>
          <w:b/>
          <w:bCs/>
          <w:color w:val="auto"/>
          <w:sz w:val="24"/>
          <w:szCs w:val="24"/>
          <w:lang w:eastAsia="zh-CN"/>
        </w:rPr>
        <w:t>1.</w:t>
      </w:r>
      <w:r>
        <w:rPr>
          <w:rFonts w:hint="eastAsia" w:ascii="宋体" w:hAnsi="宋体" w:cs="仿宋_GB2312"/>
          <w:b/>
          <w:bCs/>
          <w:color w:val="auto"/>
          <w:sz w:val="24"/>
          <w:szCs w:val="24"/>
          <w:lang w:eastAsia="zh-CN"/>
        </w:rPr>
        <w:t>本报告采用的田野考古专业术语：</w:t>
      </w:r>
    </w:p>
    <w:p w14:paraId="640E8846">
      <w:pPr>
        <w:widowControl w:val="0"/>
        <w:autoSpaceDE w:val="0"/>
        <w:autoSpaceDN w:val="0"/>
        <w:spacing w:line="360" w:lineRule="auto"/>
        <w:ind w:firstLine="480" w:firstLineChars="200"/>
        <w:jc w:val="both"/>
        <w:rPr>
          <w:rFonts w:ascii="宋体" w:hAnsi="宋体"/>
          <w:color w:val="auto"/>
          <w:sz w:val="24"/>
          <w:szCs w:val="24"/>
          <w:lang w:eastAsia="zh-CN"/>
        </w:rPr>
      </w:pPr>
      <w:r>
        <w:rPr>
          <w:rFonts w:hint="eastAsia" w:ascii="宋体" w:hAnsi="宋体" w:cs="仿宋_GB2312"/>
          <w:color w:val="auto"/>
          <w:sz w:val="24"/>
          <w:szCs w:val="24"/>
          <w:lang w:eastAsia="zh-CN"/>
        </w:rPr>
        <w:t>考古调查指地面踏查和自然断面的考古学观察。考古勘探由普探和重探组成。考古普探指采用每平方米布孔</w:t>
      </w:r>
      <w:r>
        <w:rPr>
          <w:rFonts w:ascii="宋体" w:hAnsi="宋体" w:cs="仿宋_GB2312"/>
          <w:color w:val="auto"/>
          <w:sz w:val="24"/>
          <w:szCs w:val="24"/>
          <w:lang w:eastAsia="zh-CN"/>
        </w:rPr>
        <w:t>5</w:t>
      </w:r>
      <w:r>
        <w:rPr>
          <w:rFonts w:hint="eastAsia" w:ascii="宋体" w:hAnsi="宋体" w:cs="仿宋_GB2312"/>
          <w:color w:val="auto"/>
          <w:sz w:val="24"/>
          <w:szCs w:val="24"/>
          <w:lang w:eastAsia="zh-CN"/>
        </w:rPr>
        <w:t>个的梅花点布孔法而进行的勘探工作，所用工具为探铲（</w:t>
      </w:r>
      <w:r>
        <w:rPr>
          <w:rFonts w:hint="eastAsia" w:ascii="宋体" w:hAnsi="宋体" w:cs="仿宋_GB2312"/>
          <w:color w:val="auto"/>
          <w:sz w:val="24"/>
          <w:szCs w:val="24"/>
          <w:lang w:val="en-US" w:eastAsia="zh-CN"/>
        </w:rPr>
        <w:t>洛阳铲</w:t>
      </w:r>
      <w:r>
        <w:rPr>
          <w:rFonts w:hint="eastAsia" w:ascii="宋体" w:hAnsi="宋体" w:cs="仿宋_GB2312"/>
          <w:color w:val="auto"/>
          <w:sz w:val="24"/>
          <w:szCs w:val="24"/>
          <w:lang w:eastAsia="zh-CN"/>
        </w:rPr>
        <w:t>）。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color w:val="auto"/>
          <w:sz w:val="24"/>
          <w:szCs w:val="24"/>
          <w:lang w:eastAsia="zh-CN"/>
        </w:rPr>
        <w:t>4</w:t>
      </w:r>
      <w:r>
        <w:rPr>
          <w:rFonts w:hint="eastAsia" w:ascii="宋体" w:hAnsi="宋体" w:cs="仿宋_GB2312"/>
          <w:color w:val="auto"/>
          <w:sz w:val="24"/>
          <w:szCs w:val="24"/>
          <w:lang w:eastAsia="zh-CN"/>
        </w:rPr>
        <w:t>位年</w:t>
      </w:r>
      <w:r>
        <w:rPr>
          <w:rFonts w:ascii="宋体" w:hAnsi="宋体" w:cs="仿宋_GB2312"/>
          <w:color w:val="auto"/>
          <w:sz w:val="24"/>
          <w:szCs w:val="24"/>
          <w:lang w:eastAsia="zh-CN"/>
        </w:rPr>
        <w:t>/</w:t>
      </w:r>
      <w:r>
        <w:rPr>
          <w:rFonts w:hint="eastAsia" w:ascii="宋体" w:hAnsi="宋体" w:cs="仿宋_GB2312"/>
          <w:color w:val="auto"/>
          <w:sz w:val="24"/>
          <w:szCs w:val="24"/>
          <w:lang w:eastAsia="zh-CN"/>
        </w:rPr>
        <w:t>地名代码</w:t>
      </w:r>
      <w:r>
        <w:rPr>
          <w:rFonts w:ascii="宋体" w:hAnsi="宋体" w:cs="仿宋_GB2312"/>
          <w:color w:val="auto"/>
          <w:sz w:val="24"/>
          <w:szCs w:val="24"/>
          <w:lang w:eastAsia="zh-CN"/>
        </w:rPr>
        <w:t>/</w:t>
      </w:r>
      <w:r>
        <w:rPr>
          <w:rFonts w:hint="eastAsia" w:ascii="宋体" w:hAnsi="宋体" w:cs="仿宋_GB2312"/>
          <w:color w:val="auto"/>
          <w:sz w:val="24"/>
          <w:szCs w:val="24"/>
          <w:lang w:eastAsia="zh-CN"/>
        </w:rPr>
        <w:t>单位代码</w:t>
      </w:r>
      <w:r>
        <w:rPr>
          <w:rFonts w:ascii="宋体" w:hAnsi="宋体" w:cs="仿宋_GB2312"/>
          <w:color w:val="auto"/>
          <w:sz w:val="24"/>
          <w:szCs w:val="24"/>
          <w:lang w:eastAsia="zh-CN"/>
        </w:rPr>
        <w:t>/</w:t>
      </w:r>
      <w:r>
        <w:rPr>
          <w:rFonts w:hint="eastAsia" w:ascii="宋体" w:hAnsi="宋体" w:cs="仿宋_GB2312"/>
          <w:color w:val="auto"/>
          <w:sz w:val="24"/>
          <w:szCs w:val="24"/>
          <w:lang w:eastAsia="zh-CN"/>
        </w:rPr>
        <w:t>顺序号”。单位代码中“</w:t>
      </w:r>
      <w:r>
        <w:rPr>
          <w:rFonts w:ascii="宋体" w:hAnsi="宋体" w:cs="仿宋_GB2312"/>
          <w:color w:val="auto"/>
          <w:sz w:val="24"/>
          <w:szCs w:val="24"/>
          <w:lang w:eastAsia="zh-CN"/>
        </w:rPr>
        <w:t>T</w:t>
      </w:r>
      <w:r>
        <w:rPr>
          <w:rFonts w:hint="eastAsia" w:ascii="宋体" w:hAnsi="宋体" w:cs="仿宋_GB2312"/>
          <w:color w:val="auto"/>
          <w:sz w:val="24"/>
          <w:szCs w:val="24"/>
          <w:lang w:eastAsia="zh-CN"/>
        </w:rPr>
        <w:t>”表示探方或探沟，“</w:t>
      </w:r>
      <w:r>
        <w:rPr>
          <w:rFonts w:ascii="宋体" w:hAnsi="宋体" w:cs="仿宋_GB2312"/>
          <w:color w:val="auto"/>
          <w:sz w:val="24"/>
          <w:szCs w:val="24"/>
          <w:lang w:eastAsia="zh-CN"/>
        </w:rPr>
        <w:t>M</w:t>
      </w:r>
      <w:r>
        <w:rPr>
          <w:rFonts w:hint="eastAsia" w:ascii="宋体" w:hAnsi="宋体" w:cs="仿宋_GB2312"/>
          <w:color w:val="auto"/>
          <w:sz w:val="24"/>
          <w:szCs w:val="24"/>
          <w:lang w:eastAsia="zh-CN"/>
        </w:rPr>
        <w:t>”表示墓葬，“</w:t>
      </w:r>
      <w:r>
        <w:rPr>
          <w:rFonts w:ascii="宋体" w:hAnsi="宋体" w:cs="仿宋_GB2312"/>
          <w:color w:val="auto"/>
          <w:sz w:val="24"/>
          <w:szCs w:val="24"/>
          <w:lang w:eastAsia="zh-CN"/>
        </w:rPr>
        <w:t>H</w:t>
      </w:r>
      <w:r>
        <w:rPr>
          <w:rFonts w:hint="eastAsia" w:ascii="宋体" w:hAnsi="宋体" w:cs="仿宋_GB2312"/>
          <w:color w:val="auto"/>
          <w:sz w:val="24"/>
          <w:szCs w:val="24"/>
          <w:lang w:eastAsia="zh-CN"/>
        </w:rPr>
        <w:t>”表示灰坑，“</w:t>
      </w:r>
      <w:r>
        <w:rPr>
          <w:rFonts w:ascii="宋体" w:hAnsi="宋体" w:cs="仿宋_GB2312"/>
          <w:color w:val="auto"/>
          <w:sz w:val="24"/>
          <w:szCs w:val="24"/>
          <w:lang w:eastAsia="zh-CN"/>
        </w:rPr>
        <w:t>Y</w:t>
      </w:r>
      <w:r>
        <w:rPr>
          <w:rFonts w:hint="eastAsia" w:ascii="宋体" w:hAnsi="宋体" w:cs="仿宋_GB2312"/>
          <w:color w:val="auto"/>
          <w:sz w:val="24"/>
          <w:szCs w:val="24"/>
          <w:lang w:eastAsia="zh-CN"/>
        </w:rPr>
        <w:t>”表示窑，“</w:t>
      </w:r>
      <w:r>
        <w:rPr>
          <w:rFonts w:ascii="宋体" w:hAnsi="宋体" w:cs="仿宋_GB2312"/>
          <w:color w:val="auto"/>
          <w:sz w:val="24"/>
          <w:szCs w:val="24"/>
          <w:lang w:eastAsia="zh-CN"/>
        </w:rPr>
        <w:t>F</w:t>
      </w:r>
      <w:r>
        <w:rPr>
          <w:rFonts w:hint="eastAsia" w:ascii="宋体" w:hAnsi="宋体" w:cs="仿宋_GB2312"/>
          <w:color w:val="auto"/>
          <w:sz w:val="24"/>
          <w:szCs w:val="24"/>
          <w:lang w:eastAsia="zh-CN"/>
        </w:rPr>
        <w:t>”表示房屋，“</w:t>
      </w:r>
      <w:r>
        <w:rPr>
          <w:rFonts w:ascii="宋体" w:hAnsi="宋体" w:cs="仿宋_GB2312"/>
          <w:color w:val="auto"/>
          <w:sz w:val="24"/>
          <w:szCs w:val="24"/>
          <w:lang w:eastAsia="zh-CN"/>
        </w:rPr>
        <w:t>L</w:t>
      </w:r>
      <w:r>
        <w:rPr>
          <w:rFonts w:hint="eastAsia" w:ascii="宋体" w:hAnsi="宋体" w:cs="仿宋_GB2312"/>
          <w:color w:val="auto"/>
          <w:sz w:val="24"/>
          <w:szCs w:val="24"/>
          <w:lang w:eastAsia="zh-CN"/>
        </w:rPr>
        <w:t>”表示路等。地形条件不同或范围较大区域的考古勘探、试掘、发掘分工作区进行。工作区常以象限法或据地形地貌特征进行划分，编号为罗马数字Ⅰ、Ⅱ、Ⅲ、Ⅳ等。</w:t>
      </w:r>
      <w:r>
        <w:rPr>
          <w:rFonts w:hint="default" w:ascii="宋体" w:hAnsi="宋体" w:cs="仿宋_GB2312"/>
          <w:color w:val="auto"/>
          <w:sz w:val="24"/>
          <w:szCs w:val="24"/>
          <w:lang w:eastAsia="zh-CN"/>
        </w:rPr>
        <w:t>本报告采用坐标系为</w:t>
      </w:r>
      <w:r>
        <w:rPr>
          <w:rFonts w:hint="eastAsia" w:ascii="宋体" w:hAnsi="宋体" w:cs="仿宋_GB2312"/>
          <w:color w:val="auto"/>
          <w:sz w:val="24"/>
          <w:szCs w:val="24"/>
          <w:lang w:val="en-US" w:eastAsia="zh-CN"/>
        </w:rPr>
        <w:t>广州</w:t>
      </w:r>
      <w:r>
        <w:rPr>
          <w:rFonts w:hint="default" w:ascii="宋体" w:hAnsi="宋体" w:cs="仿宋_GB2312"/>
          <w:color w:val="auto"/>
          <w:sz w:val="24"/>
          <w:szCs w:val="24"/>
          <w:lang w:eastAsia="zh-CN"/>
        </w:rPr>
        <w:t>2000平面坐标系。</w:t>
      </w:r>
    </w:p>
    <w:p w14:paraId="2D0ED4A2">
      <w:pPr>
        <w:widowControl w:val="0"/>
        <w:autoSpaceDE w:val="0"/>
        <w:autoSpaceDN w:val="0"/>
        <w:spacing w:line="360" w:lineRule="auto"/>
        <w:ind w:firstLine="482" w:firstLineChars="0"/>
        <w:jc w:val="both"/>
        <w:rPr>
          <w:rFonts w:ascii="宋体" w:hAnsi="宋体"/>
          <w:b/>
          <w:bCs/>
          <w:color w:val="auto"/>
          <w:sz w:val="24"/>
          <w:szCs w:val="24"/>
          <w:lang w:eastAsia="zh-CN"/>
        </w:rPr>
      </w:pPr>
      <w:r>
        <w:rPr>
          <w:rFonts w:ascii="宋体" w:hAnsi="宋体" w:cs="仿宋_GB2312"/>
          <w:b/>
          <w:bCs/>
          <w:color w:val="auto"/>
          <w:sz w:val="24"/>
          <w:szCs w:val="24"/>
          <w:lang w:eastAsia="zh-CN"/>
        </w:rPr>
        <w:t>2</w:t>
      </w:r>
      <w:r>
        <w:rPr>
          <w:rFonts w:hint="eastAsia" w:ascii="宋体" w:hAnsi="宋体" w:cs="仿宋_GB2312"/>
          <w:b/>
          <w:bCs/>
          <w:color w:val="auto"/>
          <w:sz w:val="24"/>
          <w:szCs w:val="24"/>
          <w:lang w:eastAsia="zh-CN"/>
        </w:rPr>
        <w:t>．本报告采用的文物标识名称：</w:t>
      </w:r>
    </w:p>
    <w:p w14:paraId="08CF3E3C">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遗物点：</w:t>
      </w:r>
      <w:r>
        <w:rPr>
          <w:rFonts w:hint="eastAsia" w:ascii="宋体" w:hAnsi="宋体" w:cs="仿宋_GB2312"/>
          <w:color w:val="auto"/>
          <w:sz w:val="24"/>
          <w:szCs w:val="24"/>
          <w:lang w:eastAsia="zh-CN"/>
        </w:rPr>
        <w:t>地面虽有零星文化遗物分布，但遗物分布面积狭小，且无明显相关文化层堆积或其它相关遗存的地点。</w:t>
      </w:r>
    </w:p>
    <w:p w14:paraId="3E48C8FC">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遗址或墓葬（具备以下条件之一）：</w:t>
      </w:r>
      <w:r>
        <w:rPr>
          <w:rFonts w:hint="eastAsia" w:ascii="宋体" w:hAnsi="宋体" w:cs="仿宋_GB2312"/>
          <w:color w:val="auto"/>
          <w:sz w:val="24"/>
          <w:szCs w:val="24"/>
          <w:lang w:eastAsia="zh-CN"/>
        </w:rPr>
        <w:t>文化遗物丰富；文化遗物分布面积宽广；有明显文化层堆积或遗迹、墓葬露头。</w:t>
      </w:r>
    </w:p>
    <w:p w14:paraId="678F2333">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疑点：</w:t>
      </w:r>
      <w:r>
        <w:rPr>
          <w:rFonts w:hint="eastAsia" w:ascii="宋体" w:hAnsi="宋体" w:cs="仿宋_GB2312"/>
          <w:color w:val="auto"/>
          <w:sz w:val="24"/>
          <w:szCs w:val="24"/>
          <w:lang w:eastAsia="zh-CN"/>
        </w:rPr>
        <w:t>没有发现文化遗存但有其它文物线索、值得关注的地点，如有相关文献记载，有与人类活动可能有关的自然遗物分布等。</w:t>
      </w:r>
    </w:p>
    <w:p w14:paraId="0BC329DB">
      <w:pPr>
        <w:widowControl w:val="0"/>
        <w:autoSpaceDE w:val="0"/>
        <w:autoSpaceDN w:val="0"/>
        <w:spacing w:line="360" w:lineRule="auto"/>
        <w:ind w:firstLine="482" w:firstLineChars="0"/>
        <w:jc w:val="both"/>
        <w:rPr>
          <w:rFonts w:ascii="宋体" w:hAnsi="宋体"/>
          <w:b/>
          <w:bCs/>
          <w:color w:val="auto"/>
          <w:sz w:val="24"/>
          <w:szCs w:val="24"/>
          <w:lang w:eastAsia="zh-CN"/>
        </w:rPr>
      </w:pPr>
      <w:r>
        <w:rPr>
          <w:rFonts w:ascii="宋体" w:hAnsi="宋体" w:cs="仿宋_GB2312"/>
          <w:b/>
          <w:bCs/>
          <w:color w:val="auto"/>
          <w:sz w:val="24"/>
          <w:szCs w:val="24"/>
          <w:lang w:eastAsia="zh-CN"/>
        </w:rPr>
        <w:t>3</w:t>
      </w:r>
      <w:r>
        <w:rPr>
          <w:rFonts w:hint="eastAsia" w:ascii="宋体" w:hAnsi="宋体" w:cs="仿宋_GB2312"/>
          <w:b/>
          <w:bCs/>
          <w:color w:val="auto"/>
          <w:sz w:val="24"/>
          <w:szCs w:val="24"/>
          <w:lang w:eastAsia="zh-CN"/>
        </w:rPr>
        <w:t>．各类遗存的处理标准（施工建议）：</w:t>
      </w:r>
    </w:p>
    <w:p w14:paraId="35B1011A">
      <w:pPr>
        <w:widowControl w:val="0"/>
        <w:autoSpaceDE w:val="0"/>
        <w:autoSpaceDN w:val="0"/>
        <w:spacing w:line="360" w:lineRule="auto"/>
        <w:ind w:firstLine="482" w:firstLineChars="200"/>
        <w:jc w:val="both"/>
        <w:rPr>
          <w:rFonts w:ascii="宋体" w:hAnsi="宋体"/>
          <w:color w:val="auto"/>
          <w:sz w:val="24"/>
          <w:szCs w:val="24"/>
          <w:lang w:eastAsia="zh-CN"/>
        </w:rPr>
      </w:pPr>
      <w:r>
        <w:rPr>
          <w:rFonts w:hint="eastAsia" w:ascii="宋体" w:hAnsi="宋体" w:cs="仿宋_GB2312"/>
          <w:b/>
          <w:bCs/>
          <w:color w:val="auto"/>
          <w:sz w:val="24"/>
          <w:szCs w:val="24"/>
          <w:lang w:eastAsia="zh-CN"/>
        </w:rPr>
        <w:t>（</w:t>
      </w:r>
      <w:r>
        <w:rPr>
          <w:rFonts w:ascii="宋体" w:hAnsi="宋体" w:cs="仿宋_GB2312"/>
          <w:b/>
          <w:bCs/>
          <w:color w:val="auto"/>
          <w:sz w:val="24"/>
          <w:szCs w:val="24"/>
          <w:lang w:eastAsia="zh-CN"/>
        </w:rPr>
        <w:t>1</w:t>
      </w:r>
      <w:r>
        <w:rPr>
          <w:rFonts w:hint="eastAsia" w:ascii="宋体" w:hAnsi="宋体" w:cs="仿宋_GB2312"/>
          <w:b/>
          <w:bCs/>
          <w:color w:val="auto"/>
          <w:sz w:val="24"/>
          <w:szCs w:val="24"/>
          <w:lang w:eastAsia="zh-CN"/>
        </w:rPr>
        <w:t>）遗物点：</w:t>
      </w:r>
      <w:r>
        <w:rPr>
          <w:rFonts w:hint="eastAsia" w:ascii="宋体" w:hAnsi="宋体" w:cs="仿宋_GB2312"/>
          <w:color w:val="auto"/>
          <w:sz w:val="24"/>
          <w:szCs w:val="24"/>
          <w:lang w:eastAsia="zh-CN"/>
        </w:rPr>
        <w:t>合同中已涉及的小型遗址和小型墓葬，属于本项考古工作的组成部分，不另做发掘计划，但在施工中需特别注意。</w:t>
      </w:r>
    </w:p>
    <w:p w14:paraId="7707CEAF">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w:t>
      </w:r>
      <w:r>
        <w:rPr>
          <w:rFonts w:ascii="宋体" w:hAnsi="宋体" w:cs="仿宋_GB2312"/>
          <w:b/>
          <w:bCs/>
          <w:color w:val="auto"/>
          <w:sz w:val="24"/>
          <w:szCs w:val="24"/>
          <w:lang w:eastAsia="zh-CN"/>
        </w:rPr>
        <w:t>2</w:t>
      </w:r>
      <w:r>
        <w:rPr>
          <w:rFonts w:hint="eastAsia" w:ascii="宋体" w:hAnsi="宋体" w:cs="仿宋_GB2312"/>
          <w:b/>
          <w:bCs/>
          <w:color w:val="auto"/>
          <w:sz w:val="24"/>
          <w:szCs w:val="24"/>
          <w:lang w:eastAsia="zh-CN"/>
        </w:rPr>
        <w:t>）其它遗存（遗址、墓地、古建筑）实行分级处理。</w:t>
      </w:r>
    </w:p>
    <w:p w14:paraId="6DDC810B">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遗存文物价值分</w:t>
      </w:r>
      <w:r>
        <w:rPr>
          <w:rFonts w:ascii="宋体" w:hAnsi="宋体" w:cs="仿宋_GB2312"/>
          <w:b/>
          <w:bCs/>
          <w:color w:val="auto"/>
          <w:sz w:val="24"/>
          <w:szCs w:val="24"/>
          <w:lang w:eastAsia="zh-CN"/>
        </w:rPr>
        <w:t>3</w:t>
      </w:r>
      <w:r>
        <w:rPr>
          <w:rFonts w:hint="eastAsia" w:ascii="宋体" w:hAnsi="宋体" w:cs="仿宋_GB2312"/>
          <w:b/>
          <w:bCs/>
          <w:color w:val="auto"/>
          <w:sz w:val="24"/>
          <w:szCs w:val="24"/>
          <w:lang w:eastAsia="zh-CN"/>
        </w:rPr>
        <w:t>级：</w:t>
      </w:r>
    </w:p>
    <w:p w14:paraId="4F32E5E1">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重要。指可以填补科研缺环、空白，或者和重大历史事件、重要历史人物有关及其它具有特别科研价值的遗存。</w:t>
      </w:r>
    </w:p>
    <w:p w14:paraId="67570A89">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较重要。指具有较高科研价值且时代一般早于明代的遗址或墓地、具有较高科研价值且时代一般早于</w:t>
      </w:r>
      <w:r>
        <w:rPr>
          <w:rFonts w:ascii="宋体" w:hAnsi="宋体" w:cs="仿宋_GB2312"/>
          <w:color w:val="auto"/>
          <w:sz w:val="24"/>
          <w:szCs w:val="24"/>
          <w:lang w:eastAsia="zh-CN"/>
        </w:rPr>
        <w:t>1911</w:t>
      </w:r>
      <w:r>
        <w:rPr>
          <w:rFonts w:hint="eastAsia" w:ascii="宋体" w:hAnsi="宋体" w:cs="仿宋_GB2312"/>
          <w:color w:val="auto"/>
          <w:sz w:val="24"/>
          <w:szCs w:val="24"/>
          <w:lang w:eastAsia="zh-CN"/>
        </w:rPr>
        <w:t>年的古建筑。</w:t>
      </w:r>
    </w:p>
    <w:p w14:paraId="01063246">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一般。指具有一定科研价值且时代一般在明代及其以后的遗址或墓地、时代虽晚于</w:t>
      </w:r>
      <w:r>
        <w:rPr>
          <w:rFonts w:ascii="宋体" w:hAnsi="宋体" w:cs="仿宋_GB2312"/>
          <w:color w:val="auto"/>
          <w:sz w:val="24"/>
          <w:szCs w:val="24"/>
          <w:lang w:eastAsia="zh-CN"/>
        </w:rPr>
        <w:t>1911</w:t>
      </w:r>
      <w:r>
        <w:rPr>
          <w:rFonts w:hint="eastAsia" w:ascii="宋体" w:hAnsi="宋体" w:cs="仿宋_GB2312"/>
          <w:color w:val="auto"/>
          <w:sz w:val="24"/>
          <w:szCs w:val="24"/>
          <w:lang w:eastAsia="zh-CN"/>
        </w:rPr>
        <w:t>年但具有一定科研价值和代表性的建筑。</w:t>
      </w:r>
    </w:p>
    <w:p w14:paraId="3913A0D8">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遗存保存状况分</w:t>
      </w:r>
      <w:r>
        <w:rPr>
          <w:rFonts w:ascii="宋体" w:hAnsi="宋体" w:cs="仿宋_GB2312"/>
          <w:b/>
          <w:bCs/>
          <w:color w:val="auto"/>
          <w:sz w:val="24"/>
          <w:szCs w:val="24"/>
          <w:lang w:eastAsia="zh-CN"/>
        </w:rPr>
        <w:t>3</w:t>
      </w:r>
      <w:r>
        <w:rPr>
          <w:rFonts w:hint="eastAsia" w:ascii="宋体" w:hAnsi="宋体" w:cs="仿宋_GB2312"/>
          <w:b/>
          <w:bCs/>
          <w:color w:val="auto"/>
          <w:sz w:val="24"/>
          <w:szCs w:val="24"/>
          <w:lang w:eastAsia="zh-CN"/>
        </w:rPr>
        <w:t>级：</w:t>
      </w:r>
    </w:p>
    <w:p w14:paraId="3DBB07B5">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保存良好。</w:t>
      </w:r>
    </w:p>
    <w:p w14:paraId="006251E4">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保存一般。</w:t>
      </w:r>
    </w:p>
    <w:p w14:paraId="702FF1F5">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保存较差。</w:t>
      </w:r>
    </w:p>
    <w:p w14:paraId="3561AD19">
      <w:pPr>
        <w:widowControl w:val="0"/>
        <w:autoSpaceDE w:val="0"/>
        <w:autoSpaceDN w:val="0"/>
        <w:spacing w:line="360" w:lineRule="auto"/>
        <w:ind w:firstLine="482" w:firstLineChars="200"/>
        <w:jc w:val="both"/>
        <w:rPr>
          <w:rFonts w:ascii="宋体" w:hAnsi="宋体"/>
          <w:b/>
          <w:bCs/>
          <w:color w:val="auto"/>
          <w:sz w:val="24"/>
          <w:szCs w:val="24"/>
          <w:lang w:eastAsia="zh-CN"/>
        </w:rPr>
      </w:pPr>
      <w:r>
        <w:rPr>
          <w:rFonts w:hint="eastAsia" w:ascii="宋体" w:hAnsi="宋体" w:cs="仿宋_GB2312"/>
          <w:b/>
          <w:bCs/>
          <w:color w:val="auto"/>
          <w:sz w:val="24"/>
          <w:szCs w:val="24"/>
          <w:lang w:eastAsia="zh-CN"/>
        </w:rPr>
        <w:t>遗存级别由其文物价值和保存状况组成，分</w:t>
      </w:r>
      <w:r>
        <w:rPr>
          <w:rFonts w:ascii="宋体" w:hAnsi="宋体" w:cs="仿宋_GB2312"/>
          <w:b/>
          <w:bCs/>
          <w:color w:val="auto"/>
          <w:sz w:val="24"/>
          <w:szCs w:val="24"/>
          <w:lang w:eastAsia="zh-CN"/>
        </w:rPr>
        <w:t>9</w:t>
      </w:r>
      <w:r>
        <w:rPr>
          <w:rFonts w:hint="eastAsia" w:ascii="宋体" w:hAnsi="宋体" w:cs="仿宋_GB2312"/>
          <w:b/>
          <w:bCs/>
          <w:color w:val="auto"/>
          <w:sz w:val="24"/>
          <w:szCs w:val="24"/>
          <w:lang w:eastAsia="zh-CN"/>
        </w:rPr>
        <w:t>级：</w:t>
      </w:r>
    </w:p>
    <w:p w14:paraId="7BA1FF77">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建议改线（改点），对遗存做原址原状保护。无法改线（改点）者，必须全面发掘或古建筑测绘，根据发掘、测绘情况确定施工方案。</w:t>
      </w:r>
    </w:p>
    <w:p w14:paraId="3DC7B0DF">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全面发掘或大范围发掘（发掘面积大于施工涉及面积的一半）和古建筑测绘，根据发掘、测绘情况确定施工方案。</w:t>
      </w:r>
    </w:p>
    <w:p w14:paraId="484D0D2D">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AC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局部发掘（发掘面积一般小于施工涉及面积的一半）和古建测绘。</w:t>
      </w:r>
    </w:p>
    <w:p w14:paraId="185C36E0">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大范围发掘（发掘面积大于施工涉及面积的一半）和古建测绘，根据发掘、测绘情况确定施工方案。</w:t>
      </w:r>
    </w:p>
    <w:p w14:paraId="6B213453">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局部发掘（发掘面积一般小于施工涉及面积的一半）和古建测绘。</w:t>
      </w:r>
    </w:p>
    <w:p w14:paraId="5DDEE035">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BC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局部发掘（发掘面积一般小于施工涉及面积的一半）或不发掘。</w:t>
      </w:r>
    </w:p>
    <w:p w14:paraId="309663D9">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CA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局部发掘（发掘面积一般小于施工涉及面积的一半）或不发掘。</w:t>
      </w:r>
    </w:p>
    <w:p w14:paraId="758D0DD8">
      <w:pPr>
        <w:widowControl w:val="0"/>
        <w:autoSpaceDE w:val="0"/>
        <w:autoSpaceDN w:val="0"/>
        <w:spacing w:line="360" w:lineRule="auto"/>
        <w:ind w:firstLine="482" w:firstLineChars="200"/>
        <w:jc w:val="both"/>
        <w:rPr>
          <w:rFonts w:ascii="宋体" w:hAnsi="宋体"/>
          <w:color w:val="auto"/>
          <w:sz w:val="24"/>
          <w:szCs w:val="24"/>
          <w:lang w:eastAsia="zh-CN"/>
        </w:rPr>
      </w:pPr>
      <w:r>
        <w:rPr>
          <w:rFonts w:ascii="宋体" w:hAnsi="宋体" w:cs="仿宋_GB2312"/>
          <w:b/>
          <w:bCs/>
          <w:color w:val="auto"/>
          <w:sz w:val="24"/>
          <w:szCs w:val="24"/>
          <w:lang w:eastAsia="zh-CN"/>
        </w:rPr>
        <w:t xml:space="preserve">CB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局部发掘（发掘面积一般小于施工涉及面积的一半）或不发掘。</w:t>
      </w:r>
    </w:p>
    <w:p w14:paraId="303857AD">
      <w:pPr>
        <w:spacing w:line="360" w:lineRule="auto"/>
        <w:ind w:firstLine="482" w:firstLineChars="200"/>
        <w:rPr>
          <w:rFonts w:hint="eastAsia" w:ascii="宋体" w:hAnsi="宋体" w:cs="仿宋_GB2312"/>
          <w:color w:val="auto"/>
          <w:sz w:val="24"/>
          <w:szCs w:val="24"/>
          <w:lang w:eastAsia="zh-CN"/>
        </w:rPr>
      </w:pPr>
      <w:r>
        <w:rPr>
          <w:rFonts w:ascii="宋体" w:hAnsi="宋体" w:cs="仿宋_GB2312"/>
          <w:b/>
          <w:bCs/>
          <w:color w:val="auto"/>
          <w:sz w:val="24"/>
          <w:szCs w:val="24"/>
          <w:lang w:eastAsia="zh-CN"/>
        </w:rPr>
        <w:t xml:space="preserve">CC </w:t>
      </w:r>
      <w:r>
        <w:rPr>
          <w:rFonts w:hint="eastAsia" w:ascii="宋体" w:hAnsi="宋体" w:cs="仿宋_GB2312"/>
          <w:b/>
          <w:bCs/>
          <w:color w:val="auto"/>
          <w:sz w:val="24"/>
          <w:szCs w:val="24"/>
          <w:lang w:eastAsia="zh-CN"/>
        </w:rPr>
        <w:t>级：</w:t>
      </w:r>
      <w:r>
        <w:rPr>
          <w:rFonts w:hint="eastAsia" w:ascii="宋体" w:hAnsi="宋体" w:cs="仿宋_GB2312"/>
          <w:color w:val="auto"/>
          <w:sz w:val="24"/>
          <w:szCs w:val="24"/>
          <w:lang w:eastAsia="zh-CN"/>
        </w:rPr>
        <w:t>不发掘。</w:t>
      </w:r>
    </w:p>
    <w:p w14:paraId="1993BF23">
      <w:pPr>
        <w:spacing w:line="360" w:lineRule="auto"/>
        <w:ind w:firstLine="480" w:firstLineChars="200"/>
        <w:rPr>
          <w:rFonts w:hint="eastAsia"/>
          <w:color w:val="auto"/>
          <w:lang w:val="en-US" w:eastAsia="zh-CN"/>
        </w:rPr>
      </w:pPr>
      <w:r>
        <w:rPr>
          <w:rFonts w:hint="eastAsia" w:ascii="宋体" w:hAnsi="宋体" w:cs="仿宋_GB2312"/>
          <w:color w:val="auto"/>
          <w:sz w:val="24"/>
          <w:szCs w:val="24"/>
        </w:rPr>
        <w:t>遗存级别的评定由本院学术评议组负责，必要时征求其他专家的意见。</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隶书">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D1514">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929EB">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21426">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D421426">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26FEF">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6CE85">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966CE85">
                    <w:pPr>
                      <w:pStyle w:val="9"/>
                    </w:pPr>
                    <w:r>
                      <w:fldChar w:fldCharType="begin"/>
                    </w:r>
                    <w:r>
                      <w:instrText xml:space="preserve"> PAGE  \* MERGEFORMAT </w:instrText>
                    </w:r>
                    <w:r>
                      <w:fldChar w:fldCharType="separate"/>
                    </w:r>
                    <w:r>
                      <w:t>48</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6F58B">
                          <w:pPr>
                            <w:pStyle w:val="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2486F58B">
                    <w:pPr>
                      <w:pStyle w:val="9"/>
                      <w:rPr>
                        <w:rFonts w:hint="eastAsia" w:eastAsia="宋体"/>
                        <w:lang w:eastAsia="zh-CN"/>
                      </w:rPr>
                    </w:pP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C2913">
    <w:pPr>
      <w:pStyle w:val="10"/>
    </w:pPr>
  </w:p>
  <w:p w14:paraId="6D6D2492">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46414">
    <w:pPr>
      <w:pStyle w:val="10"/>
    </w:pPr>
  </w:p>
  <w:p w14:paraId="73D90C3F">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8149ED"/>
    <w:multiLevelType w:val="singleLevel"/>
    <w:tmpl w:val="AD8149ED"/>
    <w:lvl w:ilvl="0" w:tentative="0">
      <w:start w:val="1"/>
      <w:numFmt w:val="decimal"/>
      <w:suff w:val="nothing"/>
      <w:lvlText w:val="（%1）"/>
      <w:lvlJc w:val="left"/>
      <w:pPr>
        <w:tabs>
          <w:tab w:val="left" w:pos="0"/>
        </w:tabs>
      </w:pPr>
      <w:rPr>
        <w:rFonts w:hint="default"/>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jZWY1NDAwNDUxOTBlOGVjMGExMGZmNTc0NzMzYWUifQ=="/>
    <w:docVar w:name="KSO_WPS_MARK_KEY" w:val="dc6c9c12-6fd1-4532-96fe-af74e960f326"/>
  </w:docVars>
  <w:rsids>
    <w:rsidRoot w:val="00172A27"/>
    <w:rsid w:val="00044859"/>
    <w:rsid w:val="000668C1"/>
    <w:rsid w:val="000766F1"/>
    <w:rsid w:val="000B1ADC"/>
    <w:rsid w:val="000D4134"/>
    <w:rsid w:val="000E5EA4"/>
    <w:rsid w:val="00150812"/>
    <w:rsid w:val="00172A27"/>
    <w:rsid w:val="0017779A"/>
    <w:rsid w:val="00181B05"/>
    <w:rsid w:val="00197BCD"/>
    <w:rsid w:val="001E1731"/>
    <w:rsid w:val="0021391A"/>
    <w:rsid w:val="00217A18"/>
    <w:rsid w:val="00225A64"/>
    <w:rsid w:val="00230D92"/>
    <w:rsid w:val="00230DF9"/>
    <w:rsid w:val="00281BC6"/>
    <w:rsid w:val="00290C47"/>
    <w:rsid w:val="002B38B4"/>
    <w:rsid w:val="002C74C7"/>
    <w:rsid w:val="002D63F7"/>
    <w:rsid w:val="00305364"/>
    <w:rsid w:val="00317A76"/>
    <w:rsid w:val="00320EA1"/>
    <w:rsid w:val="003265A2"/>
    <w:rsid w:val="00337CF3"/>
    <w:rsid w:val="0035303F"/>
    <w:rsid w:val="003A5608"/>
    <w:rsid w:val="003A7B03"/>
    <w:rsid w:val="003E1A82"/>
    <w:rsid w:val="003F0861"/>
    <w:rsid w:val="00402E2B"/>
    <w:rsid w:val="004247F2"/>
    <w:rsid w:val="00440D07"/>
    <w:rsid w:val="00443CE8"/>
    <w:rsid w:val="004D4D30"/>
    <w:rsid w:val="004E1B1F"/>
    <w:rsid w:val="00502181"/>
    <w:rsid w:val="00516C23"/>
    <w:rsid w:val="005223A2"/>
    <w:rsid w:val="00542C8A"/>
    <w:rsid w:val="00552D9E"/>
    <w:rsid w:val="00574771"/>
    <w:rsid w:val="00575024"/>
    <w:rsid w:val="005900DF"/>
    <w:rsid w:val="005B31B3"/>
    <w:rsid w:val="00626E60"/>
    <w:rsid w:val="00634C66"/>
    <w:rsid w:val="00637600"/>
    <w:rsid w:val="00644697"/>
    <w:rsid w:val="00647C30"/>
    <w:rsid w:val="00667C2C"/>
    <w:rsid w:val="006723E4"/>
    <w:rsid w:val="00676610"/>
    <w:rsid w:val="006970BE"/>
    <w:rsid w:val="006F7CBF"/>
    <w:rsid w:val="007110D9"/>
    <w:rsid w:val="007329FF"/>
    <w:rsid w:val="00747A7F"/>
    <w:rsid w:val="0075333E"/>
    <w:rsid w:val="00787487"/>
    <w:rsid w:val="00797305"/>
    <w:rsid w:val="007C3271"/>
    <w:rsid w:val="007C69F4"/>
    <w:rsid w:val="007E5B67"/>
    <w:rsid w:val="00816888"/>
    <w:rsid w:val="00833D4E"/>
    <w:rsid w:val="00853EB9"/>
    <w:rsid w:val="008D46F5"/>
    <w:rsid w:val="008E3A16"/>
    <w:rsid w:val="008F2E78"/>
    <w:rsid w:val="008F718F"/>
    <w:rsid w:val="00946F9E"/>
    <w:rsid w:val="00951B0A"/>
    <w:rsid w:val="00953676"/>
    <w:rsid w:val="00983ECF"/>
    <w:rsid w:val="009879E5"/>
    <w:rsid w:val="009A56DB"/>
    <w:rsid w:val="009D33BB"/>
    <w:rsid w:val="009E5FC3"/>
    <w:rsid w:val="00A05BFD"/>
    <w:rsid w:val="00A33844"/>
    <w:rsid w:val="00A4047B"/>
    <w:rsid w:val="00A41019"/>
    <w:rsid w:val="00A45BD5"/>
    <w:rsid w:val="00A665D3"/>
    <w:rsid w:val="00A66F66"/>
    <w:rsid w:val="00A71292"/>
    <w:rsid w:val="00A75971"/>
    <w:rsid w:val="00A94194"/>
    <w:rsid w:val="00AA18F9"/>
    <w:rsid w:val="00AD1D33"/>
    <w:rsid w:val="00AE52C9"/>
    <w:rsid w:val="00B20EA8"/>
    <w:rsid w:val="00B35B9B"/>
    <w:rsid w:val="00B6755B"/>
    <w:rsid w:val="00B8679C"/>
    <w:rsid w:val="00BC30E4"/>
    <w:rsid w:val="00BC50B8"/>
    <w:rsid w:val="00C33DA5"/>
    <w:rsid w:val="00C37410"/>
    <w:rsid w:val="00C462ED"/>
    <w:rsid w:val="00C73BDB"/>
    <w:rsid w:val="00C84FF2"/>
    <w:rsid w:val="00CD27C0"/>
    <w:rsid w:val="00D02898"/>
    <w:rsid w:val="00D0290F"/>
    <w:rsid w:val="00D059D8"/>
    <w:rsid w:val="00D11213"/>
    <w:rsid w:val="00D51DF8"/>
    <w:rsid w:val="00D548EF"/>
    <w:rsid w:val="00D62D9F"/>
    <w:rsid w:val="00D95DA4"/>
    <w:rsid w:val="00DA402A"/>
    <w:rsid w:val="00DB013F"/>
    <w:rsid w:val="00DB14B8"/>
    <w:rsid w:val="00DC6161"/>
    <w:rsid w:val="00DD3FF9"/>
    <w:rsid w:val="00DD4738"/>
    <w:rsid w:val="00DE04D9"/>
    <w:rsid w:val="00E15537"/>
    <w:rsid w:val="00E174A1"/>
    <w:rsid w:val="00E75BC6"/>
    <w:rsid w:val="00EB7788"/>
    <w:rsid w:val="00ED29BB"/>
    <w:rsid w:val="00EE0078"/>
    <w:rsid w:val="00F12B22"/>
    <w:rsid w:val="00F1445B"/>
    <w:rsid w:val="00F36CC4"/>
    <w:rsid w:val="00F45F56"/>
    <w:rsid w:val="00F65D6B"/>
    <w:rsid w:val="01900679"/>
    <w:rsid w:val="01B6015B"/>
    <w:rsid w:val="01E954BA"/>
    <w:rsid w:val="01F67965"/>
    <w:rsid w:val="0203009C"/>
    <w:rsid w:val="020C7112"/>
    <w:rsid w:val="02777450"/>
    <w:rsid w:val="02825297"/>
    <w:rsid w:val="02A257F4"/>
    <w:rsid w:val="02AC75CF"/>
    <w:rsid w:val="0319003E"/>
    <w:rsid w:val="03195159"/>
    <w:rsid w:val="032F024F"/>
    <w:rsid w:val="03317FD9"/>
    <w:rsid w:val="0355754E"/>
    <w:rsid w:val="03CC164B"/>
    <w:rsid w:val="03D41080"/>
    <w:rsid w:val="03E05386"/>
    <w:rsid w:val="04047A95"/>
    <w:rsid w:val="04074AD0"/>
    <w:rsid w:val="04460683"/>
    <w:rsid w:val="04691DA2"/>
    <w:rsid w:val="047B7EEF"/>
    <w:rsid w:val="048A7532"/>
    <w:rsid w:val="04926E89"/>
    <w:rsid w:val="04A40EFF"/>
    <w:rsid w:val="04A4232A"/>
    <w:rsid w:val="04D1461C"/>
    <w:rsid w:val="05147DF2"/>
    <w:rsid w:val="05347066"/>
    <w:rsid w:val="05593E78"/>
    <w:rsid w:val="05706F93"/>
    <w:rsid w:val="05A97E2E"/>
    <w:rsid w:val="05DF7D2F"/>
    <w:rsid w:val="064B3BFF"/>
    <w:rsid w:val="06696101"/>
    <w:rsid w:val="06846D8D"/>
    <w:rsid w:val="06BF09A4"/>
    <w:rsid w:val="06DD26E6"/>
    <w:rsid w:val="06E679D0"/>
    <w:rsid w:val="074309F6"/>
    <w:rsid w:val="07874A2C"/>
    <w:rsid w:val="079E1D48"/>
    <w:rsid w:val="07CD27C2"/>
    <w:rsid w:val="08136BF1"/>
    <w:rsid w:val="0871558D"/>
    <w:rsid w:val="089709C1"/>
    <w:rsid w:val="08C7516F"/>
    <w:rsid w:val="08F8136C"/>
    <w:rsid w:val="099F285A"/>
    <w:rsid w:val="0A1427F6"/>
    <w:rsid w:val="0A9D1BFF"/>
    <w:rsid w:val="0ACD0AE7"/>
    <w:rsid w:val="0ADC2292"/>
    <w:rsid w:val="0AE308A0"/>
    <w:rsid w:val="0AE620BB"/>
    <w:rsid w:val="0AFB6762"/>
    <w:rsid w:val="0B126EC8"/>
    <w:rsid w:val="0B603050"/>
    <w:rsid w:val="0B980B0E"/>
    <w:rsid w:val="0BAC5C35"/>
    <w:rsid w:val="0BDA311E"/>
    <w:rsid w:val="0BF461D3"/>
    <w:rsid w:val="0C2B445C"/>
    <w:rsid w:val="0C3003F0"/>
    <w:rsid w:val="0C3A5E22"/>
    <w:rsid w:val="0CA57B36"/>
    <w:rsid w:val="0CEC20DC"/>
    <w:rsid w:val="0CF95440"/>
    <w:rsid w:val="0D3C562C"/>
    <w:rsid w:val="0D4D4065"/>
    <w:rsid w:val="0D9611F7"/>
    <w:rsid w:val="0DAC357C"/>
    <w:rsid w:val="0DBC7E06"/>
    <w:rsid w:val="0DE5212F"/>
    <w:rsid w:val="0DED173B"/>
    <w:rsid w:val="0E0106C1"/>
    <w:rsid w:val="0E25322A"/>
    <w:rsid w:val="0E436309"/>
    <w:rsid w:val="0E6010CF"/>
    <w:rsid w:val="0E6C59F2"/>
    <w:rsid w:val="0EB75EDE"/>
    <w:rsid w:val="0F557518"/>
    <w:rsid w:val="0F5D4F4B"/>
    <w:rsid w:val="0F844915"/>
    <w:rsid w:val="0F866F00"/>
    <w:rsid w:val="0F8D2AEF"/>
    <w:rsid w:val="0F9E742D"/>
    <w:rsid w:val="0FA638D0"/>
    <w:rsid w:val="0FCF7125"/>
    <w:rsid w:val="0FD22391"/>
    <w:rsid w:val="0FD42B89"/>
    <w:rsid w:val="100B4F14"/>
    <w:rsid w:val="102426EF"/>
    <w:rsid w:val="1078669E"/>
    <w:rsid w:val="108A40E2"/>
    <w:rsid w:val="10923E54"/>
    <w:rsid w:val="10E943BC"/>
    <w:rsid w:val="11371889"/>
    <w:rsid w:val="11E22D82"/>
    <w:rsid w:val="120618CF"/>
    <w:rsid w:val="12525BDF"/>
    <w:rsid w:val="127E1B82"/>
    <w:rsid w:val="12FA4B52"/>
    <w:rsid w:val="13537442"/>
    <w:rsid w:val="136D5DA8"/>
    <w:rsid w:val="13882984"/>
    <w:rsid w:val="13963E93"/>
    <w:rsid w:val="13B2225F"/>
    <w:rsid w:val="13B43CF5"/>
    <w:rsid w:val="13BB6543"/>
    <w:rsid w:val="13E36E57"/>
    <w:rsid w:val="13F93879"/>
    <w:rsid w:val="140C4A70"/>
    <w:rsid w:val="14436FBA"/>
    <w:rsid w:val="14715E34"/>
    <w:rsid w:val="14B23541"/>
    <w:rsid w:val="14C53464"/>
    <w:rsid w:val="14E46BE5"/>
    <w:rsid w:val="151467F8"/>
    <w:rsid w:val="16345747"/>
    <w:rsid w:val="16B13B4E"/>
    <w:rsid w:val="16BD44F8"/>
    <w:rsid w:val="17071F56"/>
    <w:rsid w:val="170F15A5"/>
    <w:rsid w:val="174D31CB"/>
    <w:rsid w:val="174E19AB"/>
    <w:rsid w:val="176333B2"/>
    <w:rsid w:val="176F17F0"/>
    <w:rsid w:val="178238EE"/>
    <w:rsid w:val="181366D5"/>
    <w:rsid w:val="187D7A21"/>
    <w:rsid w:val="18DB06A3"/>
    <w:rsid w:val="18DE4019"/>
    <w:rsid w:val="19622C7A"/>
    <w:rsid w:val="197F7736"/>
    <w:rsid w:val="19B62FD7"/>
    <w:rsid w:val="19C46FD0"/>
    <w:rsid w:val="19DE069F"/>
    <w:rsid w:val="1A0129E2"/>
    <w:rsid w:val="1A150EB1"/>
    <w:rsid w:val="1A302CA1"/>
    <w:rsid w:val="1A3E56B2"/>
    <w:rsid w:val="1AB27626"/>
    <w:rsid w:val="1ABF0B65"/>
    <w:rsid w:val="1AC673F8"/>
    <w:rsid w:val="1AF277D4"/>
    <w:rsid w:val="1B036499"/>
    <w:rsid w:val="1B9D6544"/>
    <w:rsid w:val="1B9F5212"/>
    <w:rsid w:val="1BAF3ADF"/>
    <w:rsid w:val="1BBB20E9"/>
    <w:rsid w:val="1BEA74D5"/>
    <w:rsid w:val="1BEC3778"/>
    <w:rsid w:val="1C82037C"/>
    <w:rsid w:val="1CA736F7"/>
    <w:rsid w:val="1CC94878"/>
    <w:rsid w:val="1CCA708B"/>
    <w:rsid w:val="1CF247A9"/>
    <w:rsid w:val="1D175195"/>
    <w:rsid w:val="1D23460D"/>
    <w:rsid w:val="1D342AAA"/>
    <w:rsid w:val="1D4300F2"/>
    <w:rsid w:val="1D484CFA"/>
    <w:rsid w:val="1E1E4F79"/>
    <w:rsid w:val="1E8A5B2F"/>
    <w:rsid w:val="1E8E5AE6"/>
    <w:rsid w:val="1ED07EF4"/>
    <w:rsid w:val="1EDC193E"/>
    <w:rsid w:val="1EE55B92"/>
    <w:rsid w:val="1F0A18A3"/>
    <w:rsid w:val="1F673740"/>
    <w:rsid w:val="1F947EF4"/>
    <w:rsid w:val="1FC7102F"/>
    <w:rsid w:val="1FF36428"/>
    <w:rsid w:val="20040723"/>
    <w:rsid w:val="204A05F1"/>
    <w:rsid w:val="208941C8"/>
    <w:rsid w:val="20A27712"/>
    <w:rsid w:val="21175BBF"/>
    <w:rsid w:val="21395CB8"/>
    <w:rsid w:val="215E594B"/>
    <w:rsid w:val="217042DE"/>
    <w:rsid w:val="21744931"/>
    <w:rsid w:val="219F18D0"/>
    <w:rsid w:val="21AE76C0"/>
    <w:rsid w:val="22357595"/>
    <w:rsid w:val="223D0FD1"/>
    <w:rsid w:val="223E7121"/>
    <w:rsid w:val="225716F6"/>
    <w:rsid w:val="22574360"/>
    <w:rsid w:val="22674AF4"/>
    <w:rsid w:val="226E2DA3"/>
    <w:rsid w:val="22DF561F"/>
    <w:rsid w:val="23664641"/>
    <w:rsid w:val="23B25F80"/>
    <w:rsid w:val="23DF60E5"/>
    <w:rsid w:val="23EA5BAE"/>
    <w:rsid w:val="23F51BB4"/>
    <w:rsid w:val="23F924F4"/>
    <w:rsid w:val="240E0802"/>
    <w:rsid w:val="245077BE"/>
    <w:rsid w:val="24986F60"/>
    <w:rsid w:val="24A47E87"/>
    <w:rsid w:val="24AA37D9"/>
    <w:rsid w:val="24B474CF"/>
    <w:rsid w:val="25094375"/>
    <w:rsid w:val="25507270"/>
    <w:rsid w:val="25541540"/>
    <w:rsid w:val="25691DF1"/>
    <w:rsid w:val="259170AF"/>
    <w:rsid w:val="25A8619C"/>
    <w:rsid w:val="26124CBD"/>
    <w:rsid w:val="266E36E5"/>
    <w:rsid w:val="26791535"/>
    <w:rsid w:val="26793A2C"/>
    <w:rsid w:val="269C4ED1"/>
    <w:rsid w:val="26F53EFC"/>
    <w:rsid w:val="27181C9A"/>
    <w:rsid w:val="27A40BE5"/>
    <w:rsid w:val="27E47DDD"/>
    <w:rsid w:val="27FE6A71"/>
    <w:rsid w:val="28045B03"/>
    <w:rsid w:val="28046B4F"/>
    <w:rsid w:val="28101DD7"/>
    <w:rsid w:val="2897683D"/>
    <w:rsid w:val="28FD501D"/>
    <w:rsid w:val="29387ED7"/>
    <w:rsid w:val="29887E0E"/>
    <w:rsid w:val="298C7B83"/>
    <w:rsid w:val="299A31C8"/>
    <w:rsid w:val="29B02A96"/>
    <w:rsid w:val="29BE2C74"/>
    <w:rsid w:val="29F27527"/>
    <w:rsid w:val="2A062F8D"/>
    <w:rsid w:val="2A3C42AB"/>
    <w:rsid w:val="2A4226CF"/>
    <w:rsid w:val="2A592851"/>
    <w:rsid w:val="2A6C52BE"/>
    <w:rsid w:val="2A753612"/>
    <w:rsid w:val="2AAE593F"/>
    <w:rsid w:val="2AFF1422"/>
    <w:rsid w:val="2B383BED"/>
    <w:rsid w:val="2B3C1F42"/>
    <w:rsid w:val="2B691689"/>
    <w:rsid w:val="2BA66A0D"/>
    <w:rsid w:val="2BB80C2F"/>
    <w:rsid w:val="2BF32333"/>
    <w:rsid w:val="2C020093"/>
    <w:rsid w:val="2C0408E0"/>
    <w:rsid w:val="2C28629E"/>
    <w:rsid w:val="2CA60355"/>
    <w:rsid w:val="2CB36C56"/>
    <w:rsid w:val="2CE2060F"/>
    <w:rsid w:val="2CE83322"/>
    <w:rsid w:val="2D0211E4"/>
    <w:rsid w:val="2D101C06"/>
    <w:rsid w:val="2D1A44BA"/>
    <w:rsid w:val="2D205DB3"/>
    <w:rsid w:val="2D2B46E2"/>
    <w:rsid w:val="2D494DC8"/>
    <w:rsid w:val="2DD33DA4"/>
    <w:rsid w:val="2DD838AF"/>
    <w:rsid w:val="2E3030CA"/>
    <w:rsid w:val="2E473CE7"/>
    <w:rsid w:val="2E6916FE"/>
    <w:rsid w:val="2EA96AE1"/>
    <w:rsid w:val="2EE9055B"/>
    <w:rsid w:val="2F10168B"/>
    <w:rsid w:val="2F2B2D14"/>
    <w:rsid w:val="2F4800A8"/>
    <w:rsid w:val="2F830F4D"/>
    <w:rsid w:val="2FBF38FF"/>
    <w:rsid w:val="2FFF2800"/>
    <w:rsid w:val="306E44F4"/>
    <w:rsid w:val="307A4D41"/>
    <w:rsid w:val="30B250C2"/>
    <w:rsid w:val="313954D6"/>
    <w:rsid w:val="31457AA0"/>
    <w:rsid w:val="3155670F"/>
    <w:rsid w:val="31697227"/>
    <w:rsid w:val="316A052A"/>
    <w:rsid w:val="31716E7B"/>
    <w:rsid w:val="3178339C"/>
    <w:rsid w:val="317F4625"/>
    <w:rsid w:val="318E5B2A"/>
    <w:rsid w:val="319865A6"/>
    <w:rsid w:val="31B35316"/>
    <w:rsid w:val="31C77D73"/>
    <w:rsid w:val="31EA5F64"/>
    <w:rsid w:val="320A32DB"/>
    <w:rsid w:val="323A11EB"/>
    <w:rsid w:val="328E7E55"/>
    <w:rsid w:val="32AF095A"/>
    <w:rsid w:val="32E51AC9"/>
    <w:rsid w:val="32F742BF"/>
    <w:rsid w:val="331D018F"/>
    <w:rsid w:val="338C391E"/>
    <w:rsid w:val="33A21C17"/>
    <w:rsid w:val="33AB78F3"/>
    <w:rsid w:val="33BC6957"/>
    <w:rsid w:val="33D93459"/>
    <w:rsid w:val="34060532"/>
    <w:rsid w:val="34214B32"/>
    <w:rsid w:val="344D0318"/>
    <w:rsid w:val="34556273"/>
    <w:rsid w:val="345854C1"/>
    <w:rsid w:val="34677EEA"/>
    <w:rsid w:val="348C3430"/>
    <w:rsid w:val="34AB35B3"/>
    <w:rsid w:val="353F0F2A"/>
    <w:rsid w:val="356E2833"/>
    <w:rsid w:val="357C5329"/>
    <w:rsid w:val="35C92F24"/>
    <w:rsid w:val="35F5149D"/>
    <w:rsid w:val="35FC2522"/>
    <w:rsid w:val="36532185"/>
    <w:rsid w:val="365A1F48"/>
    <w:rsid w:val="36677E39"/>
    <w:rsid w:val="36B81B01"/>
    <w:rsid w:val="370445C3"/>
    <w:rsid w:val="370714A9"/>
    <w:rsid w:val="37310894"/>
    <w:rsid w:val="375B525D"/>
    <w:rsid w:val="376E7E98"/>
    <w:rsid w:val="37731484"/>
    <w:rsid w:val="377C6769"/>
    <w:rsid w:val="378066CF"/>
    <w:rsid w:val="378534D8"/>
    <w:rsid w:val="37EA2615"/>
    <w:rsid w:val="384A080A"/>
    <w:rsid w:val="389C4615"/>
    <w:rsid w:val="389C7973"/>
    <w:rsid w:val="38DA6394"/>
    <w:rsid w:val="391D2536"/>
    <w:rsid w:val="39453583"/>
    <w:rsid w:val="397D1466"/>
    <w:rsid w:val="39843216"/>
    <w:rsid w:val="39E520B4"/>
    <w:rsid w:val="3A026540"/>
    <w:rsid w:val="3A13313D"/>
    <w:rsid w:val="3A98381F"/>
    <w:rsid w:val="3AC918D3"/>
    <w:rsid w:val="3AD9074E"/>
    <w:rsid w:val="3B916554"/>
    <w:rsid w:val="3BC40746"/>
    <w:rsid w:val="3BF37038"/>
    <w:rsid w:val="3C061FD5"/>
    <w:rsid w:val="3C145EC6"/>
    <w:rsid w:val="3C1947EA"/>
    <w:rsid w:val="3C493886"/>
    <w:rsid w:val="3C4C0D0B"/>
    <w:rsid w:val="3C7803F9"/>
    <w:rsid w:val="3CD674AD"/>
    <w:rsid w:val="3CD67A4C"/>
    <w:rsid w:val="3D1F03A1"/>
    <w:rsid w:val="3D5F1253"/>
    <w:rsid w:val="3D9835F1"/>
    <w:rsid w:val="3DF1535C"/>
    <w:rsid w:val="3DF917A6"/>
    <w:rsid w:val="3DFC7826"/>
    <w:rsid w:val="3E3E18C3"/>
    <w:rsid w:val="3E7B42D7"/>
    <w:rsid w:val="3E852A9B"/>
    <w:rsid w:val="3EC23BE3"/>
    <w:rsid w:val="3ED04B69"/>
    <w:rsid w:val="3EDB0142"/>
    <w:rsid w:val="3F062B6C"/>
    <w:rsid w:val="3F287CD8"/>
    <w:rsid w:val="3F3E0DEF"/>
    <w:rsid w:val="3F4918A0"/>
    <w:rsid w:val="3F6D68BF"/>
    <w:rsid w:val="3FC90AB1"/>
    <w:rsid w:val="40443FFC"/>
    <w:rsid w:val="40FA6139"/>
    <w:rsid w:val="415001B7"/>
    <w:rsid w:val="416325D6"/>
    <w:rsid w:val="4170001C"/>
    <w:rsid w:val="419967EE"/>
    <w:rsid w:val="41B87491"/>
    <w:rsid w:val="42415705"/>
    <w:rsid w:val="42685D84"/>
    <w:rsid w:val="42D56D3C"/>
    <w:rsid w:val="42DF0D4B"/>
    <w:rsid w:val="43603AA1"/>
    <w:rsid w:val="4362084B"/>
    <w:rsid w:val="43722813"/>
    <w:rsid w:val="43823853"/>
    <w:rsid w:val="438D657A"/>
    <w:rsid w:val="43D370ED"/>
    <w:rsid w:val="43D95BC3"/>
    <w:rsid w:val="43DE2748"/>
    <w:rsid w:val="440D2B65"/>
    <w:rsid w:val="44155048"/>
    <w:rsid w:val="44297E88"/>
    <w:rsid w:val="44433704"/>
    <w:rsid w:val="449B0822"/>
    <w:rsid w:val="44C84497"/>
    <w:rsid w:val="459B6FB7"/>
    <w:rsid w:val="45DC01D3"/>
    <w:rsid w:val="45F518D6"/>
    <w:rsid w:val="4600551A"/>
    <w:rsid w:val="461D11EE"/>
    <w:rsid w:val="46483ACD"/>
    <w:rsid w:val="465537AC"/>
    <w:rsid w:val="46C30B50"/>
    <w:rsid w:val="46D70238"/>
    <w:rsid w:val="46ED4080"/>
    <w:rsid w:val="47091BE7"/>
    <w:rsid w:val="47321411"/>
    <w:rsid w:val="47486A40"/>
    <w:rsid w:val="478E3512"/>
    <w:rsid w:val="47DE6B08"/>
    <w:rsid w:val="47F1246D"/>
    <w:rsid w:val="480D1AA5"/>
    <w:rsid w:val="481950B1"/>
    <w:rsid w:val="48586E25"/>
    <w:rsid w:val="48604F33"/>
    <w:rsid w:val="488065A7"/>
    <w:rsid w:val="48F602DB"/>
    <w:rsid w:val="4911054E"/>
    <w:rsid w:val="4975775A"/>
    <w:rsid w:val="49EC5C8F"/>
    <w:rsid w:val="49F6062D"/>
    <w:rsid w:val="4A355324"/>
    <w:rsid w:val="4A411422"/>
    <w:rsid w:val="4A536CA3"/>
    <w:rsid w:val="4A6C4E01"/>
    <w:rsid w:val="4A8E0E49"/>
    <w:rsid w:val="4AE25CDA"/>
    <w:rsid w:val="4B3E6191"/>
    <w:rsid w:val="4B9036DB"/>
    <w:rsid w:val="4BB24D46"/>
    <w:rsid w:val="4BF45C83"/>
    <w:rsid w:val="4BF7588A"/>
    <w:rsid w:val="4C0D78A4"/>
    <w:rsid w:val="4C1D6D6D"/>
    <w:rsid w:val="4C2C3FC3"/>
    <w:rsid w:val="4C803159"/>
    <w:rsid w:val="4C957C27"/>
    <w:rsid w:val="4CD174D7"/>
    <w:rsid w:val="4D051687"/>
    <w:rsid w:val="4D1A706A"/>
    <w:rsid w:val="4DBF79B1"/>
    <w:rsid w:val="4DF03B07"/>
    <w:rsid w:val="4E104E40"/>
    <w:rsid w:val="4E720E26"/>
    <w:rsid w:val="4E7520F7"/>
    <w:rsid w:val="4EEF267E"/>
    <w:rsid w:val="4EF06F7B"/>
    <w:rsid w:val="4F6D0EAE"/>
    <w:rsid w:val="4FA0576B"/>
    <w:rsid w:val="4FCB79DD"/>
    <w:rsid w:val="4FF53847"/>
    <w:rsid w:val="501B5F84"/>
    <w:rsid w:val="50B107EC"/>
    <w:rsid w:val="50EA5CC7"/>
    <w:rsid w:val="50FA2FA5"/>
    <w:rsid w:val="50FD5F1C"/>
    <w:rsid w:val="514222A5"/>
    <w:rsid w:val="51664C19"/>
    <w:rsid w:val="51DD2FEF"/>
    <w:rsid w:val="51FD2AE3"/>
    <w:rsid w:val="52034F79"/>
    <w:rsid w:val="52555469"/>
    <w:rsid w:val="529C36EC"/>
    <w:rsid w:val="52A42D02"/>
    <w:rsid w:val="52B90FA0"/>
    <w:rsid w:val="530428F5"/>
    <w:rsid w:val="532742F5"/>
    <w:rsid w:val="53593ADA"/>
    <w:rsid w:val="53683F40"/>
    <w:rsid w:val="53FE6481"/>
    <w:rsid w:val="543F741C"/>
    <w:rsid w:val="54646E83"/>
    <w:rsid w:val="54852511"/>
    <w:rsid w:val="548C3140"/>
    <w:rsid w:val="54AA04BB"/>
    <w:rsid w:val="54BC7A3B"/>
    <w:rsid w:val="55130B6F"/>
    <w:rsid w:val="55270E3B"/>
    <w:rsid w:val="553E79A4"/>
    <w:rsid w:val="55A37604"/>
    <w:rsid w:val="55D24D6D"/>
    <w:rsid w:val="560A1684"/>
    <w:rsid w:val="568F05FC"/>
    <w:rsid w:val="56AF671B"/>
    <w:rsid w:val="56BE61FA"/>
    <w:rsid w:val="56D66718"/>
    <w:rsid w:val="56E3491E"/>
    <w:rsid w:val="572B2230"/>
    <w:rsid w:val="57535DB6"/>
    <w:rsid w:val="575C36C2"/>
    <w:rsid w:val="57727705"/>
    <w:rsid w:val="577A1E96"/>
    <w:rsid w:val="57882E88"/>
    <w:rsid w:val="578962FF"/>
    <w:rsid w:val="57F321E6"/>
    <w:rsid w:val="58061620"/>
    <w:rsid w:val="580D7AA3"/>
    <w:rsid w:val="584242C3"/>
    <w:rsid w:val="5853047A"/>
    <w:rsid w:val="5865230D"/>
    <w:rsid w:val="58974781"/>
    <w:rsid w:val="59196051"/>
    <w:rsid w:val="592624FF"/>
    <w:rsid w:val="593F35A1"/>
    <w:rsid w:val="59423F1E"/>
    <w:rsid w:val="594E062B"/>
    <w:rsid w:val="595617E0"/>
    <w:rsid w:val="59571FF0"/>
    <w:rsid w:val="5966418F"/>
    <w:rsid w:val="59CC44D6"/>
    <w:rsid w:val="59DE3233"/>
    <w:rsid w:val="5A07457F"/>
    <w:rsid w:val="5A177BB2"/>
    <w:rsid w:val="5B150849"/>
    <w:rsid w:val="5B414437"/>
    <w:rsid w:val="5B415724"/>
    <w:rsid w:val="5B6B3FA2"/>
    <w:rsid w:val="5BC2352E"/>
    <w:rsid w:val="5BD14CBD"/>
    <w:rsid w:val="5BE24663"/>
    <w:rsid w:val="5C1E2498"/>
    <w:rsid w:val="5C3C50D8"/>
    <w:rsid w:val="5C5E2F13"/>
    <w:rsid w:val="5C8A44A4"/>
    <w:rsid w:val="5C924B7E"/>
    <w:rsid w:val="5C9824FF"/>
    <w:rsid w:val="5CCC1A69"/>
    <w:rsid w:val="5D3D23E4"/>
    <w:rsid w:val="5E1B4847"/>
    <w:rsid w:val="5E5745E4"/>
    <w:rsid w:val="5E980402"/>
    <w:rsid w:val="5E9D5578"/>
    <w:rsid w:val="5E9E504B"/>
    <w:rsid w:val="5EC73F4C"/>
    <w:rsid w:val="5F533393"/>
    <w:rsid w:val="5F6C2C30"/>
    <w:rsid w:val="5F8E6FDC"/>
    <w:rsid w:val="5F9F1144"/>
    <w:rsid w:val="5FA90E49"/>
    <w:rsid w:val="5FAB3C7D"/>
    <w:rsid w:val="5FD634B7"/>
    <w:rsid w:val="60103A7C"/>
    <w:rsid w:val="60397B62"/>
    <w:rsid w:val="604734E7"/>
    <w:rsid w:val="60A157E3"/>
    <w:rsid w:val="60D31618"/>
    <w:rsid w:val="60DC61D1"/>
    <w:rsid w:val="611876BB"/>
    <w:rsid w:val="6154366A"/>
    <w:rsid w:val="61C711D8"/>
    <w:rsid w:val="623628FB"/>
    <w:rsid w:val="62443BE3"/>
    <w:rsid w:val="62683475"/>
    <w:rsid w:val="6274549B"/>
    <w:rsid w:val="62777DBF"/>
    <w:rsid w:val="628252E6"/>
    <w:rsid w:val="629A5FDF"/>
    <w:rsid w:val="62AD540E"/>
    <w:rsid w:val="62D44BF8"/>
    <w:rsid w:val="62E869F8"/>
    <w:rsid w:val="63160752"/>
    <w:rsid w:val="6321308D"/>
    <w:rsid w:val="63352941"/>
    <w:rsid w:val="633B5F5A"/>
    <w:rsid w:val="638F09C4"/>
    <w:rsid w:val="63904668"/>
    <w:rsid w:val="639D2DF8"/>
    <w:rsid w:val="63B64AE0"/>
    <w:rsid w:val="63C80331"/>
    <w:rsid w:val="63CD0301"/>
    <w:rsid w:val="64212F38"/>
    <w:rsid w:val="64227A60"/>
    <w:rsid w:val="643426B1"/>
    <w:rsid w:val="64501D45"/>
    <w:rsid w:val="64AD71CF"/>
    <w:rsid w:val="64C26584"/>
    <w:rsid w:val="653D6509"/>
    <w:rsid w:val="657259FF"/>
    <w:rsid w:val="65CF3CBE"/>
    <w:rsid w:val="65D57B0B"/>
    <w:rsid w:val="65E14D38"/>
    <w:rsid w:val="65FA2B4E"/>
    <w:rsid w:val="660F5700"/>
    <w:rsid w:val="665755B2"/>
    <w:rsid w:val="665B1B22"/>
    <w:rsid w:val="66672BE0"/>
    <w:rsid w:val="66CB07CF"/>
    <w:rsid w:val="66F6095C"/>
    <w:rsid w:val="674D569A"/>
    <w:rsid w:val="67723F8A"/>
    <w:rsid w:val="67775414"/>
    <w:rsid w:val="67977444"/>
    <w:rsid w:val="680541EE"/>
    <w:rsid w:val="680C27AC"/>
    <w:rsid w:val="682664D1"/>
    <w:rsid w:val="683E0BA0"/>
    <w:rsid w:val="6852591B"/>
    <w:rsid w:val="68540BF1"/>
    <w:rsid w:val="6857001B"/>
    <w:rsid w:val="68624753"/>
    <w:rsid w:val="68937690"/>
    <w:rsid w:val="68BD2CCE"/>
    <w:rsid w:val="696279DD"/>
    <w:rsid w:val="697E67D3"/>
    <w:rsid w:val="69E06AC6"/>
    <w:rsid w:val="69F42B18"/>
    <w:rsid w:val="6A51704A"/>
    <w:rsid w:val="6A671880"/>
    <w:rsid w:val="6A9138A1"/>
    <w:rsid w:val="6AC254F2"/>
    <w:rsid w:val="6B124BBB"/>
    <w:rsid w:val="6B1829DC"/>
    <w:rsid w:val="6B464F02"/>
    <w:rsid w:val="6C1D10F1"/>
    <w:rsid w:val="6CD40CCF"/>
    <w:rsid w:val="6D4332A9"/>
    <w:rsid w:val="6D821076"/>
    <w:rsid w:val="6D9A402D"/>
    <w:rsid w:val="6D9C0FE4"/>
    <w:rsid w:val="6DD116B4"/>
    <w:rsid w:val="6DF722C7"/>
    <w:rsid w:val="6E0C4144"/>
    <w:rsid w:val="6E454C60"/>
    <w:rsid w:val="6E573090"/>
    <w:rsid w:val="6E6A0275"/>
    <w:rsid w:val="6E9E78F9"/>
    <w:rsid w:val="6EC059E2"/>
    <w:rsid w:val="6ED21CAD"/>
    <w:rsid w:val="6F0D51FE"/>
    <w:rsid w:val="6F3F3481"/>
    <w:rsid w:val="6F420D29"/>
    <w:rsid w:val="6F51552C"/>
    <w:rsid w:val="6F582A35"/>
    <w:rsid w:val="6F66464B"/>
    <w:rsid w:val="6F9C47EE"/>
    <w:rsid w:val="6FB66477"/>
    <w:rsid w:val="6FDD5985"/>
    <w:rsid w:val="6FFE0B80"/>
    <w:rsid w:val="70177B8E"/>
    <w:rsid w:val="70247A95"/>
    <w:rsid w:val="70250BE4"/>
    <w:rsid w:val="703E7294"/>
    <w:rsid w:val="704E3898"/>
    <w:rsid w:val="7064781B"/>
    <w:rsid w:val="70A609C9"/>
    <w:rsid w:val="70F80BBA"/>
    <w:rsid w:val="71107DE3"/>
    <w:rsid w:val="711F3605"/>
    <w:rsid w:val="71601145"/>
    <w:rsid w:val="71A52F84"/>
    <w:rsid w:val="71D17DCC"/>
    <w:rsid w:val="7254291F"/>
    <w:rsid w:val="72E400A1"/>
    <w:rsid w:val="73063EA6"/>
    <w:rsid w:val="734C0DB6"/>
    <w:rsid w:val="73A46C27"/>
    <w:rsid w:val="73AC52CB"/>
    <w:rsid w:val="73B9644B"/>
    <w:rsid w:val="73BC1E1F"/>
    <w:rsid w:val="73DC65DE"/>
    <w:rsid w:val="73F957F0"/>
    <w:rsid w:val="74035228"/>
    <w:rsid w:val="74651951"/>
    <w:rsid w:val="746551C3"/>
    <w:rsid w:val="74A20779"/>
    <w:rsid w:val="74E874F4"/>
    <w:rsid w:val="74EE3D10"/>
    <w:rsid w:val="74FE028A"/>
    <w:rsid w:val="75210C80"/>
    <w:rsid w:val="758E7F81"/>
    <w:rsid w:val="75C87AF5"/>
    <w:rsid w:val="75D83A4E"/>
    <w:rsid w:val="76100D19"/>
    <w:rsid w:val="761756AB"/>
    <w:rsid w:val="765979D9"/>
    <w:rsid w:val="766B390A"/>
    <w:rsid w:val="768109AE"/>
    <w:rsid w:val="76A04455"/>
    <w:rsid w:val="76D7A7D4"/>
    <w:rsid w:val="76E01DFD"/>
    <w:rsid w:val="77184757"/>
    <w:rsid w:val="774161B9"/>
    <w:rsid w:val="77FF6E9E"/>
    <w:rsid w:val="783516F9"/>
    <w:rsid w:val="784A5105"/>
    <w:rsid w:val="78612C8C"/>
    <w:rsid w:val="787F02C0"/>
    <w:rsid w:val="788C2C23"/>
    <w:rsid w:val="78931C63"/>
    <w:rsid w:val="78AA7291"/>
    <w:rsid w:val="78CA11E1"/>
    <w:rsid w:val="78DC41DA"/>
    <w:rsid w:val="79026B15"/>
    <w:rsid w:val="79136BE7"/>
    <w:rsid w:val="79266544"/>
    <w:rsid w:val="798D7909"/>
    <w:rsid w:val="799419B4"/>
    <w:rsid w:val="79A52023"/>
    <w:rsid w:val="79AF78AE"/>
    <w:rsid w:val="7A1D5A20"/>
    <w:rsid w:val="7A3524EF"/>
    <w:rsid w:val="7A453DCD"/>
    <w:rsid w:val="7A5036B1"/>
    <w:rsid w:val="7A7D0EE7"/>
    <w:rsid w:val="7ABC4A73"/>
    <w:rsid w:val="7AD20540"/>
    <w:rsid w:val="7B0869BE"/>
    <w:rsid w:val="7B2C6B7A"/>
    <w:rsid w:val="7B47235B"/>
    <w:rsid w:val="7B517733"/>
    <w:rsid w:val="7B54133B"/>
    <w:rsid w:val="7B544FA6"/>
    <w:rsid w:val="7B5533EB"/>
    <w:rsid w:val="7C0C3E72"/>
    <w:rsid w:val="7C334C30"/>
    <w:rsid w:val="7C983F5F"/>
    <w:rsid w:val="7CBF2BCA"/>
    <w:rsid w:val="7CC87886"/>
    <w:rsid w:val="7D2F7405"/>
    <w:rsid w:val="7D4369F1"/>
    <w:rsid w:val="7D655D52"/>
    <w:rsid w:val="7D6609E5"/>
    <w:rsid w:val="7D862CAE"/>
    <w:rsid w:val="7DA6298E"/>
    <w:rsid w:val="7DA84359"/>
    <w:rsid w:val="7E060918"/>
    <w:rsid w:val="7E323DE7"/>
    <w:rsid w:val="7E4D5EDF"/>
    <w:rsid w:val="7E573431"/>
    <w:rsid w:val="7E83400C"/>
    <w:rsid w:val="7ECB2BE0"/>
    <w:rsid w:val="7F2127E7"/>
    <w:rsid w:val="7F330A53"/>
    <w:rsid w:val="7F807B0B"/>
    <w:rsid w:val="7F854599"/>
    <w:rsid w:val="7F88415D"/>
    <w:rsid w:val="7FEE2EF5"/>
    <w:rsid w:val="F7A6D3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ind w:firstLine="360"/>
    </w:pPr>
    <w:rPr>
      <w:rFonts w:ascii="Calibri" w:hAnsi="Calibri" w:eastAsia="宋体" w:cs="Times New Roman"/>
      <w:sz w:val="22"/>
      <w:szCs w:val="22"/>
      <w:lang w:val="en-US" w:eastAsia="en-US" w:bidi="en-US"/>
    </w:rPr>
  </w:style>
  <w:style w:type="paragraph" w:styleId="2">
    <w:name w:val="heading 1"/>
    <w:basedOn w:val="1"/>
    <w:next w:val="1"/>
    <w:link w:val="26"/>
    <w:autoRedefine/>
    <w:qFormat/>
    <w:uiPriority w:val="0"/>
    <w:pPr>
      <w:keepNext/>
      <w:keepLines/>
      <w:spacing w:line="360" w:lineRule="auto"/>
      <w:jc w:val="center"/>
      <w:outlineLvl w:val="0"/>
    </w:pPr>
    <w:rPr>
      <w:rFonts w:ascii="Times New Roman" w:hAnsi="Times New Roman"/>
      <w:b/>
      <w:bCs/>
      <w:kern w:val="44"/>
      <w:sz w:val="28"/>
      <w:szCs w:val="44"/>
    </w:rPr>
  </w:style>
  <w:style w:type="paragraph" w:styleId="3">
    <w:name w:val="heading 2"/>
    <w:basedOn w:val="1"/>
    <w:next w:val="1"/>
    <w:link w:val="27"/>
    <w:autoRedefine/>
    <w:unhideWhenUsed/>
    <w:qFormat/>
    <w:uiPriority w:val="0"/>
    <w:pPr>
      <w:keepNext/>
      <w:keepLines/>
      <w:spacing w:line="360" w:lineRule="auto"/>
      <w:outlineLvl w:val="1"/>
    </w:pPr>
    <w:rPr>
      <w:rFonts w:ascii="Cambria" w:hAnsi="Cambria" w:eastAsia="宋体" w:cs="Times New Roman"/>
      <w:sz w:val="28"/>
      <w:szCs w:val="32"/>
      <w:lang w:val="en-US" w:eastAsia="zh-CN" w:bidi="ar-SA"/>
    </w:rPr>
  </w:style>
  <w:style w:type="paragraph" w:styleId="4">
    <w:name w:val="heading 3"/>
    <w:basedOn w:val="1"/>
    <w:next w:val="1"/>
    <w:autoRedefine/>
    <w:semiHidden/>
    <w:unhideWhenUsed/>
    <w:qFormat/>
    <w:uiPriority w:val="0"/>
    <w:pPr>
      <w:keepNext/>
      <w:keepLines/>
      <w:spacing w:before="260" w:after="260" w:line="413" w:lineRule="auto"/>
      <w:outlineLvl w:val="2"/>
    </w:pPr>
    <w:rPr>
      <w:b/>
      <w:sz w:val="32"/>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5">
    <w:name w:val="caption"/>
    <w:basedOn w:val="1"/>
    <w:next w:val="1"/>
    <w:autoRedefine/>
    <w:unhideWhenUsed/>
    <w:qFormat/>
    <w:uiPriority w:val="0"/>
    <w:pPr>
      <w:ind w:firstLine="0"/>
      <w:jc w:val="center"/>
    </w:pPr>
    <w:rPr>
      <w:rFonts w:ascii="Arial" w:hAnsi="Arial" w:eastAsia="黑体"/>
      <w:sz w:val="21"/>
    </w:rPr>
  </w:style>
  <w:style w:type="paragraph" w:styleId="6">
    <w:name w:val="Body Text"/>
    <w:basedOn w:val="1"/>
    <w:autoRedefine/>
    <w:qFormat/>
    <w:uiPriority w:val="1"/>
    <w:rPr>
      <w:rFonts w:ascii="宋体" w:hAnsi="宋体" w:cs="宋体"/>
      <w:sz w:val="24"/>
      <w:szCs w:val="24"/>
      <w:lang w:val="zh-CN" w:eastAsia="zh-CN" w:bidi="zh-CN"/>
    </w:rPr>
  </w:style>
  <w:style w:type="paragraph" w:styleId="7">
    <w:name w:val="Body Text Indent"/>
    <w:basedOn w:val="1"/>
    <w:autoRedefine/>
    <w:unhideWhenUsed/>
    <w:qFormat/>
    <w:uiPriority w:val="0"/>
    <w:pPr>
      <w:spacing w:after="120"/>
      <w:ind w:left="420" w:leftChars="200"/>
    </w:pPr>
  </w:style>
  <w:style w:type="paragraph" w:styleId="8">
    <w:name w:val="endnote text"/>
    <w:basedOn w:val="1"/>
    <w:autoRedefine/>
    <w:qFormat/>
    <w:uiPriority w:val="0"/>
    <w:pPr>
      <w:snapToGrid w:val="0"/>
      <w:jc w:val="left"/>
    </w:pPr>
  </w:style>
  <w:style w:type="paragraph" w:styleId="9">
    <w:name w:val="footer"/>
    <w:basedOn w:val="1"/>
    <w:autoRedefine/>
    <w:qFormat/>
    <w:uiPriority w:val="0"/>
    <w:pPr>
      <w:tabs>
        <w:tab w:val="center" w:pos="4153"/>
        <w:tab w:val="right" w:pos="8306"/>
      </w:tabs>
      <w:snapToGrid w:val="0"/>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toc 1"/>
    <w:basedOn w:val="1"/>
    <w:next w:val="1"/>
    <w:link w:val="30"/>
    <w:autoRedefine/>
    <w:qFormat/>
    <w:uiPriority w:val="0"/>
  </w:style>
  <w:style w:type="paragraph" w:styleId="12">
    <w:name w:val="Subtitle"/>
    <w:basedOn w:val="1"/>
    <w:next w:val="1"/>
    <w:autoRedefine/>
    <w:qFormat/>
    <w:uiPriority w:val="11"/>
    <w:pPr>
      <w:spacing w:before="240" w:after="60" w:line="312" w:lineRule="auto"/>
      <w:outlineLvl w:val="1"/>
    </w:pPr>
    <w:rPr>
      <w:rFonts w:asciiTheme="majorHAnsi" w:hAnsiTheme="majorHAnsi" w:cstheme="majorBidi"/>
      <w:bCs/>
      <w:kern w:val="28"/>
      <w:sz w:val="28"/>
      <w:szCs w:val="32"/>
    </w:rPr>
  </w:style>
  <w:style w:type="paragraph" w:styleId="13">
    <w:name w:val="Body Text Indent 3"/>
    <w:basedOn w:val="1"/>
    <w:autoRedefine/>
    <w:unhideWhenUsed/>
    <w:qFormat/>
    <w:uiPriority w:val="99"/>
    <w:pPr>
      <w:spacing w:after="120"/>
      <w:ind w:left="420" w:leftChars="200"/>
    </w:pPr>
    <w:rPr>
      <w:sz w:val="16"/>
      <w:szCs w:val="16"/>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rPr>
      <w:sz w:val="24"/>
    </w:rPr>
  </w:style>
  <w:style w:type="paragraph" w:styleId="16">
    <w:name w:val="Title"/>
    <w:basedOn w:val="1"/>
    <w:next w:val="1"/>
    <w:autoRedefine/>
    <w:qFormat/>
    <w:uiPriority w:val="10"/>
    <w:pPr>
      <w:spacing w:after="312" w:afterLines="100"/>
      <w:ind w:firstLine="0" w:firstLineChars="0"/>
      <w:jc w:val="center"/>
      <w:outlineLvl w:val="0"/>
    </w:pPr>
    <w:rPr>
      <w:rFonts w:ascii="Calibri Light" w:hAnsi="Calibri Light"/>
      <w:b/>
      <w:bCs/>
      <w:sz w:val="28"/>
      <w:szCs w:val="30"/>
      <w:lang w:bidi="en-US"/>
    </w:rPr>
  </w:style>
  <w:style w:type="paragraph" w:styleId="17">
    <w:name w:val="Body Text First Indent"/>
    <w:basedOn w:val="6"/>
    <w:autoRedefine/>
    <w:qFormat/>
    <w:uiPriority w:val="0"/>
    <w:pPr>
      <w:ind w:firstLine="420" w:firstLineChars="100"/>
    </w:pPr>
  </w:style>
  <w:style w:type="paragraph" w:styleId="18">
    <w:name w:val="Body Text First Indent 2"/>
    <w:basedOn w:val="7"/>
    <w:next w:val="17"/>
    <w:autoRedefine/>
    <w:qFormat/>
    <w:uiPriority w:val="0"/>
    <w:pPr>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character" w:styleId="23">
    <w:name w:val="Hyperlink"/>
    <w:basedOn w:val="21"/>
    <w:autoRedefine/>
    <w:qFormat/>
    <w:uiPriority w:val="0"/>
    <w:rPr>
      <w:color w:val="0563C1" w:themeColor="hyperlink"/>
      <w:u w:val="single"/>
      <w14:textFill>
        <w14:solidFill>
          <w14:schemeClr w14:val="hlink"/>
        </w14:solidFill>
      </w14:textFill>
    </w:rPr>
  </w:style>
  <w:style w:type="paragraph" w:customStyle="1" w:styleId="24">
    <w:name w:val="样式1"/>
    <w:basedOn w:val="8"/>
    <w:link w:val="36"/>
    <w:autoRedefine/>
    <w:qFormat/>
    <w:uiPriority w:val="0"/>
    <w:pPr>
      <w:ind w:firstLine="643" w:firstLineChars="200"/>
    </w:pPr>
    <w:rPr>
      <w:rFonts w:asciiTheme="minorAscii" w:hAnsiTheme="minorAscii"/>
    </w:rPr>
  </w:style>
  <w:style w:type="paragraph" w:customStyle="1" w:styleId="25">
    <w:name w:val="样式2"/>
    <w:basedOn w:val="13"/>
    <w:next w:val="24"/>
    <w:autoRedefine/>
    <w:qFormat/>
    <w:uiPriority w:val="0"/>
    <w:pPr>
      <w:spacing w:after="0" w:line="360" w:lineRule="auto"/>
      <w:ind w:left="0" w:leftChars="0" w:firstLine="480" w:firstLineChars="200"/>
    </w:pPr>
    <w:rPr>
      <w:rFonts w:ascii="宋体" w:hAnsi="宋体" w:cs="宋体"/>
      <w:sz w:val="24"/>
      <w:szCs w:val="24"/>
    </w:rPr>
  </w:style>
  <w:style w:type="character" w:customStyle="1" w:styleId="26">
    <w:name w:val="标题 1 字符"/>
    <w:basedOn w:val="21"/>
    <w:link w:val="2"/>
    <w:autoRedefine/>
    <w:qFormat/>
    <w:uiPriority w:val="0"/>
    <w:rPr>
      <w:rFonts w:ascii="Times New Roman" w:hAnsi="Times New Roman" w:eastAsia="宋体"/>
      <w:b/>
      <w:bCs/>
      <w:kern w:val="44"/>
      <w:sz w:val="28"/>
      <w:szCs w:val="44"/>
    </w:rPr>
  </w:style>
  <w:style w:type="character" w:customStyle="1" w:styleId="27">
    <w:name w:val="标题 2 字符"/>
    <w:link w:val="3"/>
    <w:autoRedefine/>
    <w:qFormat/>
    <w:uiPriority w:val="0"/>
    <w:rPr>
      <w:rFonts w:ascii="Cambria" w:hAnsi="Cambria" w:eastAsia="宋体" w:cs="Times New Roman"/>
      <w:bCs/>
      <w:sz w:val="28"/>
      <w:szCs w:val="32"/>
    </w:rPr>
  </w:style>
  <w:style w:type="paragraph" w:customStyle="1" w:styleId="28">
    <w:name w:val="WPSOffice手动目录 1"/>
    <w:autoRedefine/>
    <w:qFormat/>
    <w:uiPriority w:val="0"/>
    <w:rPr>
      <w:rFonts w:ascii="Times New Roman" w:hAnsi="Times New Roman" w:eastAsia="宋体" w:cs="Times New Roman"/>
      <w:lang w:val="en-US" w:eastAsia="zh-CN" w:bidi="ar-SA"/>
    </w:rPr>
  </w:style>
  <w:style w:type="paragraph" w:customStyle="1" w:styleId="29">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0">
    <w:name w:val="TOC 1 字符"/>
    <w:link w:val="11"/>
    <w:autoRedefine/>
    <w:qFormat/>
    <w:uiPriority w:val="0"/>
  </w:style>
  <w:style w:type="character" w:customStyle="1" w:styleId="31">
    <w:name w:val="样式3 Char"/>
    <w:basedOn w:val="21"/>
    <w:link w:val="32"/>
    <w:autoRedefine/>
    <w:qFormat/>
    <w:uiPriority w:val="0"/>
    <w:rPr>
      <w:rFonts w:ascii="宋体" w:hAnsi="宋体"/>
      <w:sz w:val="24"/>
      <w:szCs w:val="24"/>
    </w:rPr>
  </w:style>
  <w:style w:type="paragraph" w:customStyle="1" w:styleId="32">
    <w:name w:val="样式3"/>
    <w:basedOn w:val="1"/>
    <w:link w:val="31"/>
    <w:autoRedefine/>
    <w:qFormat/>
    <w:uiPriority w:val="0"/>
    <w:pPr>
      <w:spacing w:line="360" w:lineRule="auto"/>
      <w:ind w:firstLine="482" w:firstLineChars="201"/>
    </w:pPr>
    <w:rPr>
      <w:rFonts w:ascii="宋体" w:hAnsi="宋体"/>
      <w:sz w:val="24"/>
      <w:szCs w:val="24"/>
    </w:rPr>
  </w:style>
  <w:style w:type="paragraph" w:customStyle="1" w:styleId="33">
    <w:name w:val="List Paragraph"/>
    <w:basedOn w:val="1"/>
    <w:autoRedefine/>
    <w:qFormat/>
    <w:uiPriority w:val="1"/>
    <w:pPr>
      <w:spacing w:before="161"/>
      <w:ind w:left="1201" w:hanging="601"/>
    </w:pPr>
    <w:rPr>
      <w:rFonts w:ascii="宋体" w:hAnsi="宋体" w:cs="宋体"/>
      <w:lang w:val="zh-CN" w:eastAsia="zh-CN" w:bidi="zh-CN"/>
    </w:rPr>
  </w:style>
  <w:style w:type="paragraph" w:customStyle="1" w:styleId="34">
    <w:name w:val="WPSOffice手动目录 3"/>
    <w:autoRedefine/>
    <w:qFormat/>
    <w:uiPriority w:val="0"/>
    <w:pPr>
      <w:ind w:left="400" w:leftChars="400"/>
    </w:pPr>
    <w:rPr>
      <w:rFonts w:ascii="Calibri" w:hAnsi="Calibri" w:eastAsia="宋体" w:cs="Times New Roman"/>
      <w:lang w:val="en-US" w:eastAsia="zh-CN" w:bidi="ar-SA"/>
    </w:rPr>
  </w:style>
  <w:style w:type="paragraph" w:customStyle="1" w:styleId="35">
    <w:name w:val="Table Paragraph"/>
    <w:basedOn w:val="1"/>
    <w:autoRedefine/>
    <w:qFormat/>
    <w:uiPriority w:val="1"/>
    <w:pPr>
      <w:spacing w:before="120"/>
      <w:ind w:left="376" w:right="369"/>
      <w:jc w:val="center"/>
    </w:pPr>
    <w:rPr>
      <w:rFonts w:ascii="宋体" w:hAnsi="宋体" w:eastAsia="宋体" w:cs="宋体"/>
      <w:lang w:val="zh-CN" w:eastAsia="zh-CN" w:bidi="zh-CN"/>
    </w:rPr>
  </w:style>
  <w:style w:type="character" w:customStyle="1" w:styleId="36">
    <w:name w:val="样式1 Char"/>
    <w:link w:val="24"/>
    <w:autoRedefine/>
    <w:qFormat/>
    <w:uiPriority w:val="0"/>
    <w:rPr>
      <w:rFonts w:eastAsia="宋体" w:cs="Times New Roman"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tiff"/><Relationship Id="rId16" Type="http://schemas.openxmlformats.org/officeDocument/2006/relationships/image" Target="media/image8.tiff"/><Relationship Id="rId15" Type="http://schemas.openxmlformats.org/officeDocument/2006/relationships/image" Target="media/image7.tiff"/><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51</Pages>
  <Words>7422</Words>
  <Characters>7828</Characters>
  <Lines>0</Lines>
  <Paragraphs>0</Paragraphs>
  <TotalTime>4</TotalTime>
  <ScaleCrop>false</ScaleCrop>
  <LinksUpToDate>false</LinksUpToDate>
  <CharactersWithSpaces>8045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2021-01-25T17:53:00Z</dcterms:created>
  <dc:creator>admin</dc:creator>
  <cp:lastModifiedBy>Cheny</cp:lastModifiedBy>
  <dcterms:modified xsi:type="dcterms:W3CDTF">2025-11-13T07:07:28Z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D29BAAA76EE34E2BACF0C4BBCBB61A68_13</vt:lpwstr>
  </property>
  <property fmtid="{D5CDD505-2E9C-101B-9397-08002B2CF9AE}" pid="4" name="KSOTemplateDocerSaveRecord">
    <vt:lpwstr>eyJoZGlkIjoiNWExMjY5OWIxZTI4NjZiNTYwNTQwZmVkMGY2NzA3MGEiLCJ1c2VySWQiOiI1OTc4NzAwNzAifQ==</vt:lpwstr>
  </property>
</Properties>
</file>