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5D89F">
      <w:pPr>
        <w:spacing w:line="530" w:lineRule="exact"/>
        <w:ind w:right="-340" w:rightChars="-162"/>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14:paraId="0C141BA5">
      <w:pPr>
        <w:spacing w:line="530" w:lineRule="exact"/>
        <w:ind w:right="-340" w:rightChars="-162"/>
        <w:jc w:val="both"/>
        <w:rPr>
          <w:rFonts w:hint="eastAsia" w:ascii="黑体" w:hAnsi="黑体" w:eastAsia="黑体" w:cs="黑体"/>
          <w:b w:val="0"/>
          <w:bCs/>
          <w:sz w:val="32"/>
          <w:szCs w:val="32"/>
          <w:lang w:eastAsia="zh-CN"/>
        </w:rPr>
      </w:pPr>
    </w:p>
    <w:p w14:paraId="4620C7B8">
      <w:pPr>
        <w:spacing w:line="530" w:lineRule="exact"/>
        <w:ind w:right="-340" w:rightChars="-162"/>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rPr>
        <w:t>广州市第十批广东省文物保护单位保护范围</w:t>
      </w:r>
      <w:r>
        <w:rPr>
          <w:rFonts w:hint="eastAsia" w:ascii="方正小标宋_GBK" w:hAnsi="方正小标宋_GBK" w:eastAsia="方正小标宋_GBK" w:cs="方正小标宋_GBK"/>
          <w:b w:val="0"/>
          <w:bCs/>
          <w:sz w:val="44"/>
          <w:szCs w:val="44"/>
          <w:lang w:eastAsia="zh-CN"/>
        </w:rPr>
        <w:t>和</w:t>
      </w:r>
      <w:r>
        <w:rPr>
          <w:rFonts w:hint="eastAsia" w:ascii="方正小标宋_GBK" w:hAnsi="方正小标宋_GBK" w:eastAsia="方正小标宋_GBK" w:cs="方正小标宋_GBK"/>
          <w:b w:val="0"/>
          <w:bCs/>
          <w:sz w:val="44"/>
          <w:szCs w:val="44"/>
        </w:rPr>
        <w:t>建设控制地带文字说明</w:t>
      </w:r>
    </w:p>
    <w:bookmarkEnd w:id="0"/>
    <w:p w14:paraId="323E9B09">
      <w:pPr>
        <w:spacing w:line="530" w:lineRule="exact"/>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（共14处）</w:t>
      </w:r>
    </w:p>
    <w:p w14:paraId="39A2CBD9">
      <w:pPr>
        <w:spacing w:line="400" w:lineRule="exact"/>
        <w:jc w:val="center"/>
        <w:rPr>
          <w:rFonts w:ascii="宋体" w:hAnsi="宋体" w:eastAsia="宋体"/>
          <w:b/>
          <w:szCs w:val="20"/>
        </w:rPr>
      </w:pPr>
    </w:p>
    <w:tbl>
      <w:tblPr>
        <w:tblStyle w:val="7"/>
        <w:tblW w:w="14121" w:type="dxa"/>
        <w:jc w:val="center"/>
        <w:tblLayout w:type="fixed"/>
        <w:tblCellMar>
          <w:top w:w="0" w:type="dxa"/>
          <w:left w:w="0" w:type="dxa"/>
          <w:bottom w:w="0" w:type="dxa"/>
          <w:right w:w="0" w:type="dxa"/>
        </w:tblCellMar>
      </w:tblPr>
      <w:tblGrid>
        <w:gridCol w:w="801"/>
        <w:gridCol w:w="1625"/>
        <w:gridCol w:w="1796"/>
        <w:gridCol w:w="4965"/>
        <w:gridCol w:w="4934"/>
      </w:tblGrid>
      <w:tr w14:paraId="542EF8FC">
        <w:tblPrEx>
          <w:tblCellMar>
            <w:top w:w="0" w:type="dxa"/>
            <w:left w:w="0" w:type="dxa"/>
            <w:bottom w:w="0" w:type="dxa"/>
            <w:right w:w="0" w:type="dxa"/>
          </w:tblCellMar>
        </w:tblPrEx>
        <w:trPr>
          <w:trHeight w:val="44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D9D9D9"/>
            <w:noWrap w:val="0"/>
            <w:tcMar>
              <w:top w:w="57" w:type="dxa"/>
              <w:left w:w="57" w:type="dxa"/>
              <w:bottom w:w="57" w:type="dxa"/>
              <w:right w:w="57" w:type="dxa"/>
            </w:tcMar>
            <w:vAlign w:val="center"/>
          </w:tcPr>
          <w:p w14:paraId="6A48D77F">
            <w:pPr>
              <w:pStyle w:val="6"/>
              <w:widowControl/>
              <w:spacing w:before="0" w:beforeAutospacing="0" w:after="0" w:afterAutospacing="0" w:line="360" w:lineRule="exact"/>
              <w:jc w:val="center"/>
              <w:rPr>
                <w:rFonts w:hint="eastAsia" w:ascii="黑体" w:hAnsi="黑体" w:eastAsia="黑体" w:cs="黑体"/>
                <w:sz w:val="21"/>
                <w:szCs w:val="21"/>
              </w:rPr>
            </w:pPr>
            <w:r>
              <w:rPr>
                <w:rFonts w:hint="eastAsia" w:ascii="黑体" w:hAnsi="黑体" w:eastAsia="黑体" w:cs="黑体"/>
                <w:b w:val="0"/>
                <w:bCs w:val="0"/>
                <w:color w:val="000000"/>
                <w:kern w:val="24"/>
                <w:sz w:val="21"/>
                <w:szCs w:val="21"/>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D9D9D9"/>
            <w:noWrap w:val="0"/>
            <w:tcMar>
              <w:top w:w="57" w:type="dxa"/>
              <w:left w:w="57" w:type="dxa"/>
              <w:bottom w:w="57" w:type="dxa"/>
              <w:right w:w="57" w:type="dxa"/>
            </w:tcMar>
            <w:vAlign w:val="center"/>
          </w:tcPr>
          <w:p w14:paraId="76F77B19">
            <w:pPr>
              <w:pStyle w:val="6"/>
              <w:widowControl/>
              <w:spacing w:before="0" w:beforeAutospacing="0" w:after="0" w:afterAutospacing="0" w:line="360" w:lineRule="exact"/>
              <w:jc w:val="center"/>
              <w:rPr>
                <w:rFonts w:hint="eastAsia" w:ascii="黑体" w:hAnsi="黑体" w:eastAsia="黑体" w:cs="黑体"/>
                <w:sz w:val="21"/>
                <w:szCs w:val="21"/>
              </w:rPr>
            </w:pPr>
            <w:r>
              <w:rPr>
                <w:rFonts w:hint="eastAsia" w:ascii="黑体" w:hAnsi="黑体" w:eastAsia="黑体" w:cs="黑体"/>
                <w:b w:val="0"/>
                <w:bCs w:val="0"/>
                <w:color w:val="000000"/>
                <w:kern w:val="24"/>
                <w:sz w:val="21"/>
                <w:szCs w:val="21"/>
              </w:rPr>
              <w:t>名称</w:t>
            </w:r>
          </w:p>
        </w:tc>
        <w:tc>
          <w:tcPr>
            <w:tcW w:w="1796" w:type="dxa"/>
            <w:tcBorders>
              <w:top w:val="single" w:color="000000" w:sz="4" w:space="0"/>
              <w:left w:val="single" w:color="000000" w:sz="4" w:space="0"/>
              <w:bottom w:val="single" w:color="000000" w:sz="4" w:space="0"/>
              <w:right w:val="single" w:color="000000" w:sz="4" w:space="0"/>
            </w:tcBorders>
            <w:shd w:val="clear" w:color="auto" w:fill="D9D9D9"/>
            <w:noWrap w:val="0"/>
            <w:tcMar>
              <w:top w:w="57" w:type="dxa"/>
              <w:left w:w="57" w:type="dxa"/>
              <w:bottom w:w="57" w:type="dxa"/>
              <w:right w:w="57" w:type="dxa"/>
            </w:tcMar>
            <w:vAlign w:val="center"/>
          </w:tcPr>
          <w:p w14:paraId="20061EF2">
            <w:pPr>
              <w:pStyle w:val="6"/>
              <w:widowControl/>
              <w:spacing w:before="0" w:beforeAutospacing="0" w:after="0" w:afterAutospacing="0" w:line="360" w:lineRule="exact"/>
              <w:jc w:val="center"/>
              <w:rPr>
                <w:rFonts w:hint="eastAsia" w:ascii="黑体" w:hAnsi="黑体" w:eastAsia="黑体" w:cs="黑体"/>
                <w:sz w:val="21"/>
                <w:szCs w:val="21"/>
              </w:rPr>
            </w:pPr>
            <w:r>
              <w:rPr>
                <w:rFonts w:hint="eastAsia" w:ascii="黑体" w:hAnsi="黑体" w:eastAsia="黑体" w:cs="黑体"/>
                <w:b w:val="0"/>
                <w:bCs w:val="0"/>
                <w:color w:val="000000"/>
                <w:kern w:val="24"/>
                <w:sz w:val="21"/>
                <w:szCs w:val="21"/>
              </w:rPr>
              <w:t>地址</w:t>
            </w:r>
          </w:p>
        </w:tc>
        <w:tc>
          <w:tcPr>
            <w:tcW w:w="4965" w:type="dxa"/>
            <w:tcBorders>
              <w:top w:val="single" w:color="000000" w:sz="4" w:space="0"/>
              <w:left w:val="single" w:color="000000" w:sz="4" w:space="0"/>
              <w:bottom w:val="single" w:color="000000" w:sz="4" w:space="0"/>
              <w:right w:val="single" w:color="000000" w:sz="4" w:space="0"/>
            </w:tcBorders>
            <w:shd w:val="clear" w:color="auto" w:fill="D9D9D9"/>
            <w:noWrap w:val="0"/>
            <w:tcMar>
              <w:top w:w="57" w:type="dxa"/>
              <w:left w:w="57" w:type="dxa"/>
              <w:bottom w:w="57" w:type="dxa"/>
              <w:right w:w="57" w:type="dxa"/>
            </w:tcMar>
            <w:vAlign w:val="center"/>
          </w:tcPr>
          <w:p w14:paraId="7C0C387C">
            <w:pPr>
              <w:pStyle w:val="6"/>
              <w:widowControl/>
              <w:spacing w:before="0" w:beforeAutospacing="0" w:after="0" w:afterAutospacing="0" w:line="360" w:lineRule="exact"/>
              <w:jc w:val="center"/>
              <w:rPr>
                <w:rFonts w:hint="eastAsia" w:ascii="黑体" w:hAnsi="黑体" w:eastAsia="黑体" w:cs="黑体"/>
                <w:sz w:val="21"/>
                <w:szCs w:val="21"/>
              </w:rPr>
            </w:pPr>
            <w:r>
              <w:rPr>
                <w:rFonts w:hint="eastAsia" w:ascii="黑体" w:hAnsi="黑体" w:eastAsia="黑体" w:cs="黑体"/>
                <w:b w:val="0"/>
                <w:bCs w:val="0"/>
                <w:color w:val="000000"/>
                <w:kern w:val="24"/>
                <w:sz w:val="21"/>
                <w:szCs w:val="21"/>
              </w:rPr>
              <w:t>保护范围</w:t>
            </w:r>
          </w:p>
        </w:tc>
        <w:tc>
          <w:tcPr>
            <w:tcW w:w="4934" w:type="dxa"/>
            <w:tcBorders>
              <w:top w:val="single" w:color="000000" w:sz="4" w:space="0"/>
              <w:left w:val="single" w:color="000000" w:sz="4" w:space="0"/>
              <w:bottom w:val="single" w:color="000000" w:sz="4" w:space="0"/>
              <w:right w:val="single" w:color="000000" w:sz="4" w:space="0"/>
            </w:tcBorders>
            <w:shd w:val="clear" w:color="auto" w:fill="D9D9D9"/>
            <w:noWrap w:val="0"/>
            <w:tcMar>
              <w:top w:w="57" w:type="dxa"/>
              <w:left w:w="57" w:type="dxa"/>
              <w:bottom w:w="57" w:type="dxa"/>
              <w:right w:w="57" w:type="dxa"/>
            </w:tcMar>
            <w:vAlign w:val="center"/>
          </w:tcPr>
          <w:p w14:paraId="1D2C49AA">
            <w:pPr>
              <w:pStyle w:val="6"/>
              <w:widowControl/>
              <w:spacing w:before="0" w:beforeAutospacing="0" w:after="0" w:afterAutospacing="0" w:line="360" w:lineRule="exact"/>
              <w:jc w:val="center"/>
              <w:rPr>
                <w:rFonts w:hint="eastAsia" w:ascii="黑体" w:hAnsi="黑体" w:eastAsia="黑体" w:cs="黑体"/>
                <w:sz w:val="21"/>
                <w:szCs w:val="21"/>
              </w:rPr>
            </w:pPr>
            <w:r>
              <w:rPr>
                <w:rFonts w:hint="eastAsia" w:ascii="黑体" w:hAnsi="黑体" w:eastAsia="黑体" w:cs="黑体"/>
                <w:b w:val="0"/>
                <w:bCs w:val="0"/>
                <w:color w:val="000000"/>
                <w:kern w:val="24"/>
                <w:sz w:val="21"/>
                <w:szCs w:val="21"/>
              </w:rPr>
              <w:t>建设控制地带</w:t>
            </w:r>
          </w:p>
        </w:tc>
      </w:tr>
      <w:tr w14:paraId="644C9793">
        <w:tblPrEx>
          <w:tblCellMar>
            <w:top w:w="0" w:type="dxa"/>
            <w:left w:w="0" w:type="dxa"/>
            <w:bottom w:w="0" w:type="dxa"/>
            <w:right w:w="0" w:type="dxa"/>
          </w:tblCellMar>
        </w:tblPrEx>
        <w:trPr>
          <w:trHeight w:val="1467"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A2ED54D">
            <w:pPr>
              <w:pStyle w:val="6"/>
              <w:widowControl/>
              <w:spacing w:before="0" w:beforeAutospacing="0" w:after="0" w:afterAutospacing="0" w:line="360" w:lineRule="exact"/>
              <w:jc w:val="center"/>
              <w:rPr>
                <w:rFonts w:ascii="Times New Roman" w:hAnsi="Times New Roman" w:eastAsia="宋体" w:cs="Times New Roman"/>
                <w:sz w:val="21"/>
                <w:szCs w:val="21"/>
              </w:rPr>
            </w:pPr>
            <w:r>
              <w:rPr>
                <w:rFonts w:hint="default" w:ascii="Times New Roman" w:hAnsi="Times New Roman" w:eastAsia="宋体" w:cs="Times New Roman"/>
                <w:color w:val="000000"/>
                <w:kern w:val="24"/>
                <w:sz w:val="21"/>
                <w:szCs w:val="21"/>
              </w:rPr>
              <w:t>1</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8CC612E">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四烈士墓</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3120E5B">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越秀区大塘街道东平社区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0FCBB3E">
            <w:pPr>
              <w:pStyle w:val="6"/>
              <w:widowControl/>
              <w:spacing w:before="0" w:beforeAutospacing="0" w:after="0" w:afterAutospacing="0" w:line="360" w:lineRule="exact"/>
              <w:jc w:val="both"/>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北、东、南从文物本体外缘外延5米；</w:t>
            </w:r>
          </w:p>
          <w:p w14:paraId="5D224068">
            <w:pPr>
              <w:pStyle w:val="6"/>
              <w:widowControl/>
              <w:spacing w:before="0" w:beforeAutospacing="0" w:after="0" w:afterAutospacing="0" w:line="360" w:lineRule="exact"/>
              <w:jc w:val="left"/>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西从文物本体外缘外延5米，局部至广州起义烈士陵园本体范围东边线。</w:t>
            </w:r>
          </w:p>
          <w:p w14:paraId="07D86629">
            <w:pPr>
              <w:pStyle w:val="6"/>
              <w:widowControl/>
              <w:spacing w:before="0" w:beforeAutospacing="0" w:after="0" w:afterAutospacing="0" w:line="360" w:lineRule="exact"/>
              <w:jc w:val="both"/>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面积：1457平方米。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3EA259B">
            <w:pPr>
              <w:pStyle w:val="6"/>
              <w:widowControl/>
              <w:spacing w:before="0" w:beforeAutospacing="0" w:after="0" w:afterAutospacing="0" w:line="360" w:lineRule="exact"/>
              <w:jc w:val="left"/>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广东省文物保护单位广州起义烈士陵园的建设控制地带已涵盖四烈士墓，本次不另行划定。</w:t>
            </w:r>
          </w:p>
        </w:tc>
      </w:tr>
      <w:tr w14:paraId="03C7CE7B">
        <w:tblPrEx>
          <w:tblCellMar>
            <w:top w:w="0" w:type="dxa"/>
            <w:left w:w="0" w:type="dxa"/>
            <w:bottom w:w="0" w:type="dxa"/>
            <w:right w:w="0" w:type="dxa"/>
          </w:tblCellMar>
        </w:tblPrEx>
        <w:trPr>
          <w:trHeight w:val="1235"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BF8958B">
            <w:pPr>
              <w:pStyle w:val="6"/>
              <w:widowControl/>
              <w:spacing w:before="0" w:beforeAutospacing="0" w:after="0" w:afterAutospacing="0" w:line="360" w:lineRule="exact"/>
              <w:jc w:val="center"/>
              <w:rPr>
                <w:rFonts w:ascii="Times New Roman" w:hAnsi="Times New Roman" w:eastAsia="宋体" w:cs="Times New Roman"/>
                <w:sz w:val="21"/>
                <w:szCs w:val="21"/>
              </w:rPr>
            </w:pPr>
            <w:r>
              <w:rPr>
                <w:rFonts w:hint="default" w:ascii="Times New Roman" w:hAnsi="Times New Roman" w:eastAsia="宋体" w:cs="Times New Roman"/>
                <w:color w:val="000000"/>
                <w:kern w:val="24"/>
                <w:sz w:val="21"/>
                <w:szCs w:val="21"/>
              </w:rPr>
              <w:t>2</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669BC479">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史坚如墓</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B6F9B8D">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越秀区黄花岗街道永泰社区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B0852EE">
            <w:pPr>
              <w:pStyle w:val="6"/>
              <w:widowControl/>
              <w:spacing w:before="0" w:beforeAutospacing="0" w:after="0" w:afterAutospacing="0" w:line="360" w:lineRule="exact"/>
              <w:jc w:val="both"/>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东、西、北以墓园围墙为界；</w:t>
            </w:r>
          </w:p>
          <w:p w14:paraId="76160F86">
            <w:pPr>
              <w:pStyle w:val="6"/>
              <w:widowControl/>
              <w:spacing w:before="0" w:beforeAutospacing="0" w:after="0" w:afterAutospacing="0" w:line="360" w:lineRule="exact"/>
              <w:jc w:val="both"/>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南从文物本体外缘外延5米。</w:t>
            </w:r>
          </w:p>
          <w:p w14:paraId="2420F4F2">
            <w:pPr>
              <w:pStyle w:val="6"/>
              <w:widowControl/>
              <w:spacing w:before="0" w:beforeAutospacing="0" w:after="0" w:afterAutospacing="0" w:line="360" w:lineRule="exact"/>
              <w:jc w:val="both"/>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面积：637平方米。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AF6804B">
            <w:pPr>
              <w:pStyle w:val="6"/>
              <w:widowControl/>
              <w:spacing w:before="0" w:beforeAutospacing="0" w:after="0" w:afterAutospacing="0" w:line="360" w:lineRule="exact"/>
              <w:jc w:val="left"/>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全国重点文物保护单位黄花岗七十二烈士墓的建设控制地带已涵盖史坚如墓，本次不另行划定。</w:t>
            </w:r>
          </w:p>
        </w:tc>
      </w:tr>
      <w:tr w14:paraId="1D114793">
        <w:tblPrEx>
          <w:tblCellMar>
            <w:top w:w="0" w:type="dxa"/>
            <w:left w:w="0" w:type="dxa"/>
            <w:bottom w:w="0" w:type="dxa"/>
            <w:right w:w="0" w:type="dxa"/>
          </w:tblCellMar>
        </w:tblPrEx>
        <w:trPr>
          <w:trHeight w:val="1235"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41230ED">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3</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0B33619">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仲元图书馆旧址</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9283C32">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越秀区解放北路越秀公园镇海路</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691C617">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b/>
                <w:bCs/>
                <w:color w:val="000000"/>
                <w:kern w:val="24"/>
                <w:sz w:val="21"/>
                <w:szCs w:val="21"/>
              </w:rPr>
              <w:t>仲元楼：</w:t>
            </w:r>
            <w:r>
              <w:rPr>
                <w:rFonts w:hint="default" w:ascii="Times New Roman" w:hAnsi="Times New Roman" w:eastAsia="宋体" w:cs="Times New Roman"/>
                <w:color w:val="000000"/>
                <w:kern w:val="24"/>
                <w:sz w:val="21"/>
                <w:szCs w:val="21"/>
              </w:rPr>
              <w:br w:type="textWrapping"/>
            </w:r>
            <w:r>
              <w:rPr>
                <w:rFonts w:hint="default" w:ascii="Times New Roman" w:hAnsi="Times New Roman" w:eastAsia="宋体" w:cs="Times New Roman"/>
                <w:color w:val="000000"/>
                <w:kern w:val="24"/>
                <w:sz w:val="21"/>
                <w:szCs w:val="21"/>
              </w:rPr>
              <w:t>北、东从文物本体外缘外延5米；南从文物本体外缘外延18米；西至西侧围墙边线，局部至西南侧相邻建筑东墙线。</w:t>
            </w:r>
            <w:r>
              <w:rPr>
                <w:rFonts w:hint="default" w:ascii="Times New Roman" w:hAnsi="Times New Roman" w:eastAsia="宋体" w:cs="Times New Roman"/>
                <w:color w:val="000000"/>
                <w:kern w:val="24"/>
                <w:sz w:val="21"/>
                <w:szCs w:val="21"/>
              </w:rPr>
              <w:br w:type="textWrapping"/>
            </w:r>
            <w:r>
              <w:rPr>
                <w:rFonts w:hint="default" w:ascii="Times New Roman" w:hAnsi="Times New Roman" w:eastAsia="宋体" w:cs="Times New Roman"/>
                <w:b/>
                <w:bCs/>
                <w:color w:val="000000"/>
                <w:kern w:val="24"/>
                <w:sz w:val="21"/>
                <w:szCs w:val="21"/>
              </w:rPr>
              <w:t>门楼：</w:t>
            </w:r>
            <w:r>
              <w:rPr>
                <w:rFonts w:hint="default" w:ascii="Times New Roman" w:hAnsi="Times New Roman" w:eastAsia="宋体" w:cs="Times New Roman"/>
                <w:color w:val="000000"/>
                <w:kern w:val="24"/>
                <w:sz w:val="21"/>
                <w:szCs w:val="21"/>
              </w:rPr>
              <w:br w:type="textWrapping"/>
            </w:r>
            <w:r>
              <w:rPr>
                <w:rFonts w:hint="default" w:ascii="Times New Roman" w:hAnsi="Times New Roman" w:eastAsia="宋体" w:cs="Times New Roman"/>
                <w:color w:val="000000"/>
                <w:kern w:val="24"/>
                <w:sz w:val="21"/>
                <w:szCs w:val="21"/>
              </w:rPr>
              <w:t>从文物本体外缘外延5米；南至镇海路现状南侧路缘线。</w:t>
            </w:r>
            <w:r>
              <w:rPr>
                <w:rFonts w:hint="default" w:ascii="Times New Roman" w:hAnsi="Times New Roman" w:eastAsia="宋体" w:cs="Times New Roman"/>
                <w:color w:val="000000"/>
                <w:kern w:val="24"/>
                <w:sz w:val="21"/>
                <w:szCs w:val="21"/>
              </w:rPr>
              <w:br w:type="textWrapping"/>
            </w:r>
            <w:r>
              <w:rPr>
                <w:rFonts w:hint="default" w:ascii="Times New Roman" w:hAnsi="Times New Roman" w:eastAsia="宋体" w:cs="Times New Roman"/>
                <w:color w:val="000000"/>
                <w:kern w:val="24"/>
                <w:sz w:val="21"/>
                <w:szCs w:val="21"/>
              </w:rPr>
              <w:t>面积：2708平方米。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AB5A6FF">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北至镇海楼与广州明城墙文物本体南侧边缘；</w:t>
            </w:r>
          </w:p>
          <w:p w14:paraId="0C3562F6">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东从保护范围外延38.8米，至东侧山脚围墙边线；</w:t>
            </w:r>
          </w:p>
          <w:p w14:paraId="7646635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南至南侧山脚围墙边线；</w:t>
            </w:r>
          </w:p>
          <w:p w14:paraId="3BF0CB7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西从保护范围外延30米，局部至镇海路103号建筑围墙东边线。</w:t>
            </w:r>
          </w:p>
          <w:p w14:paraId="37D394CB">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面积：14440平方米。</w:t>
            </w:r>
          </w:p>
        </w:tc>
      </w:tr>
      <w:tr w14:paraId="392FA723">
        <w:tblPrEx>
          <w:tblCellMar>
            <w:top w:w="0" w:type="dxa"/>
            <w:left w:w="0" w:type="dxa"/>
            <w:bottom w:w="0" w:type="dxa"/>
            <w:right w:w="0" w:type="dxa"/>
          </w:tblCellMar>
        </w:tblPrEx>
        <w:trPr>
          <w:trHeight w:val="2521"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E89D016"/>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3CF577A"/>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AAE1A21"/>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F809F15"/>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BEF3C1A"/>
        </w:tc>
      </w:tr>
      <w:tr w14:paraId="4D831615">
        <w:tblPrEx>
          <w:tblCellMar>
            <w:top w:w="0" w:type="dxa"/>
            <w:left w:w="0" w:type="dxa"/>
            <w:bottom w:w="0" w:type="dxa"/>
            <w:right w:w="0" w:type="dxa"/>
          </w:tblCellMar>
        </w:tblPrEx>
        <w:trPr>
          <w:trHeight w:val="2979"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6A943C9">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4</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B940668">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广州市立中山图书馆旧址</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2C5FAD7">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越秀区文德北路71号</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6EE29B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北至广州市立中山图书馆旧址北侧围墙外缘；</w:t>
            </w:r>
          </w:p>
          <w:p w14:paraId="5D1B614D">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东至文德路现状西侧路缘线；</w:t>
            </w:r>
          </w:p>
          <w:p w14:paraId="6EAC69A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南至相邻建筑、围墙外缘；</w:t>
            </w:r>
          </w:p>
          <w:p w14:paraId="541AC47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西至广州市立中山图书馆旧址西侧围墙外缘。</w:t>
            </w:r>
          </w:p>
          <w:p w14:paraId="1094CB0C">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面积：8242平方米。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4095D6C">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北从保护范围外延33.8米，与全国重点文物保护单位南越国宫署遗址的建设控制地带南侧重合；</w:t>
            </w:r>
          </w:p>
          <w:p w14:paraId="167F3009">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东至文德路现状东侧路缘线；</w:t>
            </w:r>
          </w:p>
          <w:p w14:paraId="4162EAF0">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南从保护范围外延39.7米；</w:t>
            </w:r>
          </w:p>
          <w:p w14:paraId="512FFFB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西从保护范围外延27.3米。</w:t>
            </w:r>
          </w:p>
          <w:p w14:paraId="13A5D276">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面积：18069平方米。</w:t>
            </w:r>
          </w:p>
        </w:tc>
      </w:tr>
      <w:tr w14:paraId="6321FF87">
        <w:tblPrEx>
          <w:tblCellMar>
            <w:top w:w="0" w:type="dxa"/>
            <w:left w:w="0" w:type="dxa"/>
            <w:bottom w:w="0" w:type="dxa"/>
            <w:right w:w="0" w:type="dxa"/>
          </w:tblCellMar>
        </w:tblPrEx>
        <w:trPr>
          <w:trHeight w:val="2416"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06C1C1D">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5</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217358D">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五羊石雕</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68D6547E">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越秀区越秀公园内</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6F244270">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以文物本体所在的广场边缘为界。</w:t>
            </w:r>
          </w:p>
          <w:p w14:paraId="201269E6">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面积：1114平方米。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79A0D9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北从保护范围外延30.9米至山脚混凝土道路南边缘；</w:t>
            </w:r>
          </w:p>
          <w:p w14:paraId="42961EA1">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东从保护范围外延13.9米至山脚混凝土道路西边缘；</w:t>
            </w:r>
          </w:p>
          <w:p w14:paraId="649EBBA9">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南从保护范围外延29.2米至山脚混凝土道路北边缘；</w:t>
            </w:r>
          </w:p>
          <w:p w14:paraId="0088672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西从保护范围外延10.3米至山脚混凝土道路东边缘。</w:t>
            </w:r>
          </w:p>
          <w:p w14:paraId="6FF19760">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面积：3318平方米。</w:t>
            </w:r>
          </w:p>
        </w:tc>
      </w:tr>
      <w:tr w14:paraId="50FE9BE6">
        <w:tblPrEx>
          <w:tblCellMar>
            <w:top w:w="0" w:type="dxa"/>
            <w:left w:w="0" w:type="dxa"/>
            <w:bottom w:w="0" w:type="dxa"/>
            <w:right w:w="0" w:type="dxa"/>
          </w:tblCellMar>
        </w:tblPrEx>
        <w:trPr>
          <w:trHeight w:val="2755"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96B27D9">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6</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8114125">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柏园</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BA43643">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越秀区恤孤院路12号西座1-2层</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1382F4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北从文物本体建筑外缘外延5米；</w:t>
            </w:r>
          </w:p>
          <w:p w14:paraId="34ADBF50">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东至培正路现状东侧路缘线；</w:t>
            </w:r>
          </w:p>
          <w:p w14:paraId="728E3C81">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南至培正新一横现状南侧路缘线；</w:t>
            </w:r>
          </w:p>
          <w:p w14:paraId="27BC1737">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西至西侧围墙边线。</w:t>
            </w:r>
          </w:p>
          <w:p w14:paraId="159B9ADC">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面积：1450平方米。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48DB7D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北至培正一横路现状北侧路缘线；</w:t>
            </w:r>
          </w:p>
          <w:p w14:paraId="78ECEC0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东从保护范围外延27.3米；</w:t>
            </w:r>
          </w:p>
          <w:p w14:paraId="768659B9">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南至培正新横路现状北侧路缘线；</w:t>
            </w:r>
          </w:p>
          <w:p w14:paraId="73F649C1">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西至西侧相邻建筑围墙西边线。</w:t>
            </w:r>
          </w:p>
          <w:p w14:paraId="6B240032">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面积：3305平方米。</w:t>
            </w:r>
          </w:p>
        </w:tc>
      </w:tr>
      <w:tr w14:paraId="0A2B5C5F">
        <w:tblPrEx>
          <w:tblCellMar>
            <w:top w:w="0" w:type="dxa"/>
            <w:left w:w="0" w:type="dxa"/>
            <w:bottom w:w="0" w:type="dxa"/>
            <w:right w:w="0" w:type="dxa"/>
          </w:tblCellMar>
        </w:tblPrEx>
        <w:trPr>
          <w:trHeight w:val="2691"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673D14CE">
            <w:pPr>
              <w:pStyle w:val="6"/>
              <w:widowControl/>
              <w:spacing w:before="0" w:beforeAutospacing="0" w:after="0" w:afterAutospacing="0" w:line="360" w:lineRule="exact"/>
              <w:jc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7</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59D04C5">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永安堂</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0ED3B51">
            <w:pPr>
              <w:pStyle w:val="6"/>
              <w:widowControl/>
              <w:spacing w:before="0" w:beforeAutospacing="0" w:after="0" w:afterAutospacing="0" w:line="360" w:lineRule="exact"/>
              <w:jc w:val="center"/>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越秀区人民街道果菜西社区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EB634E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北、东、西、南从文物本体建筑外缘外延5米。</w:t>
            </w:r>
          </w:p>
          <w:p w14:paraId="147B2E43">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面积：1487平方米。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7608DBE">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北至长堤大马路现状北侧路缘线；</w:t>
            </w:r>
          </w:p>
          <w:p w14:paraId="0A7D69C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东从保护范围外延99.5米；</w:t>
            </w:r>
          </w:p>
          <w:p w14:paraId="1672564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南从保护范围外延30米；</w:t>
            </w:r>
          </w:p>
          <w:p w14:paraId="7045523D">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西至沿江西路147号建筑西墙线。</w:t>
            </w:r>
          </w:p>
          <w:p w14:paraId="2B51E16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面积：9343平方米。</w:t>
            </w:r>
          </w:p>
        </w:tc>
      </w:tr>
      <w:tr w14:paraId="6AFDD960">
        <w:tblPrEx>
          <w:tblCellMar>
            <w:top w:w="0" w:type="dxa"/>
            <w:left w:w="0" w:type="dxa"/>
            <w:bottom w:w="0" w:type="dxa"/>
            <w:right w:w="0" w:type="dxa"/>
          </w:tblCellMar>
        </w:tblPrEx>
        <w:trPr>
          <w:trHeight w:val="2744"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CD814B5">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000000"/>
                <w:kern w:val="24"/>
                <w:sz w:val="21"/>
                <w:szCs w:val="21"/>
              </w:rPr>
              <w:t>8</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372F541">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赤岗塔</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F1634FE">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海珠区赤岗街道新鸿社区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B286C2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赤岗塔基边线向外延伸30米，包括赤岗塔所在的山岗范围。</w:t>
            </w:r>
          </w:p>
          <w:p w14:paraId="42ABA4DB">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面积：4423平方米。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2E11DEB">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北至艺洲路北侧赤岗涌北岸道路边线；</w:t>
            </w:r>
          </w:p>
          <w:p w14:paraId="3C5613F7">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南从塔身延伸162米；</w:t>
            </w:r>
          </w:p>
          <w:p w14:paraId="28F1ED41">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西至友邻东街东侧；</w:t>
            </w:r>
          </w:p>
          <w:p w14:paraId="6E6D3BEB">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东至艺苑路西侧。</w:t>
            </w:r>
          </w:p>
          <w:p w14:paraId="48109EFB">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面积：76775平方米。</w:t>
            </w:r>
          </w:p>
        </w:tc>
      </w:tr>
      <w:tr w14:paraId="32B49AD0">
        <w:tblPrEx>
          <w:tblCellMar>
            <w:top w:w="0" w:type="dxa"/>
            <w:left w:w="0" w:type="dxa"/>
            <w:bottom w:w="0" w:type="dxa"/>
            <w:right w:w="0" w:type="dxa"/>
          </w:tblCellMar>
        </w:tblPrEx>
        <w:trPr>
          <w:trHeight w:val="2656"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2254669">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9</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CD45201">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第一次全国劳动大会旧址</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9BC459B">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海珠区海幢街道滨江西路230号</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6E4B009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北从文物本体建筑外缘外延5米；</w:t>
            </w:r>
          </w:p>
          <w:p w14:paraId="0E783129">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东至爱和里现状东侧路缘线；</w:t>
            </w:r>
          </w:p>
          <w:p w14:paraId="45C22F6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南至和珠里现状南侧路缘线；</w:t>
            </w:r>
          </w:p>
          <w:p w14:paraId="68E9BB5B">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西至龙庆大街14、16、18、28号建筑东墙线。</w:t>
            </w:r>
          </w:p>
          <w:p w14:paraId="35541DC8">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面积：2739平方米。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4AA752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北至珠江南岸线；</w:t>
            </w:r>
          </w:p>
          <w:p w14:paraId="4FB9E2E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东至同庆路现状西侧路缘线；</w:t>
            </w:r>
          </w:p>
          <w:p w14:paraId="22C151A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南至南华中路现状北侧路缘线；</w:t>
            </w:r>
          </w:p>
          <w:p w14:paraId="52A26D75">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西至龙庆大街现状西侧路缘线。</w:t>
            </w:r>
          </w:p>
          <w:p w14:paraId="34764BAA">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面积：6496平方米。</w:t>
            </w:r>
          </w:p>
        </w:tc>
      </w:tr>
      <w:tr w14:paraId="0C3E6547">
        <w:tblPrEx>
          <w:tblCellMar>
            <w:top w:w="0" w:type="dxa"/>
            <w:left w:w="0" w:type="dxa"/>
            <w:bottom w:w="0" w:type="dxa"/>
            <w:right w:w="0" w:type="dxa"/>
          </w:tblCellMar>
        </w:tblPrEx>
        <w:trPr>
          <w:trHeight w:val="4737"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FDCCE68">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10</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A9DE711">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南石头监狱遗址</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8A76964">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海珠区南石头街道棣园社区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BF7D712">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从南石头监狱内场围墙外延5米。</w:t>
            </w:r>
          </w:p>
          <w:p w14:paraId="46C1BC45">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面积：17399平方米。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6BD7DF6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东南从保护范围线外延30米；</w:t>
            </w:r>
          </w:p>
          <w:p w14:paraId="5AFAFC7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西南至珠江东岸线；</w:t>
            </w:r>
          </w:p>
          <w:p w14:paraId="49DF8E2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北至广州摩托车厂西南侧围墙边线、广州内海港海事处东南侧围墙边线、西闸巷3、5号现状建筑东边线一线，北至南石西一巷9号、南石西二巷9号、南石西三巷15号、南石西四巷18号、南石西五巷10、11、12号、南石西六巷9、12号、南石西七巷9、10、11号、南石西东六巷3、6号、南石西东五巷1、2号、南石西东四巷1号、南石西东三巷1、2号、南石西东二巷1、2号一线；</w:t>
            </w:r>
          </w:p>
          <w:p w14:paraId="6E80208B">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东北至珠江岸线。</w:t>
            </w:r>
          </w:p>
          <w:p w14:paraId="2729ABDF">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面积：39995.7平方米。</w:t>
            </w:r>
          </w:p>
        </w:tc>
      </w:tr>
      <w:tr w14:paraId="1AAFD245">
        <w:tblPrEx>
          <w:tblCellMar>
            <w:top w:w="0" w:type="dxa"/>
            <w:left w:w="0" w:type="dxa"/>
            <w:bottom w:w="0" w:type="dxa"/>
            <w:right w:w="0" w:type="dxa"/>
          </w:tblCellMar>
        </w:tblPrEx>
        <w:trPr>
          <w:trHeight w:val="3531"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82D42C6">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000000"/>
                <w:kern w:val="24"/>
                <w:sz w:val="21"/>
                <w:szCs w:val="21"/>
              </w:rPr>
              <w:t>11</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25A942C">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中国致公党中央党部旧址</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B3D9DF8">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荔湾区多宝路221号</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79F706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北从文物本体建筑外缘外延5米，局部至多宝路201-213号建筑北墙线；</w:t>
            </w:r>
          </w:p>
          <w:p w14:paraId="7E6B95C9">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东从文物本体建筑外缘外延3.4米至混凝土路西边缘；</w:t>
            </w:r>
          </w:p>
          <w:p w14:paraId="39F294CF">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南从文物本体建筑外缘外延5米，至多宝路现状北侧路缘线；</w:t>
            </w:r>
          </w:p>
          <w:p w14:paraId="0812D626">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西至多宝路201号建筑西墙线。</w:t>
            </w:r>
          </w:p>
          <w:p w14:paraId="2BD03AD8">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面积：1760平方米。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B62E68E">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北至宝庆新北约现状南侧路缘线；</w:t>
            </w:r>
          </w:p>
          <w:p w14:paraId="49BDDD93">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东至宝华路现状西侧路缘线；</w:t>
            </w:r>
          </w:p>
          <w:p w14:paraId="268776FD">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南至宝华正中约现状北侧路缘线；</w:t>
            </w:r>
          </w:p>
          <w:p w14:paraId="3169EA3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西至宝庆新北约、宝华正中横现状东侧路缘线。</w:t>
            </w:r>
          </w:p>
          <w:p w14:paraId="7EA24335">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面积：11845平方米。</w:t>
            </w:r>
          </w:p>
        </w:tc>
      </w:tr>
      <w:tr w14:paraId="34A3B085">
        <w:tblPrEx>
          <w:tblCellMar>
            <w:top w:w="0" w:type="dxa"/>
            <w:left w:w="0" w:type="dxa"/>
            <w:bottom w:w="0" w:type="dxa"/>
            <w:right w:w="0" w:type="dxa"/>
          </w:tblCellMar>
        </w:tblPrEx>
        <w:trPr>
          <w:trHeight w:val="2544"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B8D0310">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000000"/>
                <w:kern w:val="24"/>
                <w:sz w:val="21"/>
                <w:szCs w:val="21"/>
              </w:rPr>
              <w:t>12</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649290B">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粤军第一师诸先烈纪念碑</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1EDD430">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天河区兴华街道建武社区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D803E7E">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北至燕岭路（原广汕公路）现状南侧路缘线；</w:t>
            </w:r>
          </w:p>
          <w:p w14:paraId="6F272673">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东、南、西至现状围墙边界。</w:t>
            </w:r>
          </w:p>
          <w:p w14:paraId="33A21607">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面积：19136平方米。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724212C">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北至燕岭路（原广汕公路）现状南侧路缘线；</w:t>
            </w:r>
          </w:p>
          <w:p w14:paraId="2642B30F">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东从保护范围外延87米；</w:t>
            </w:r>
          </w:p>
          <w:p w14:paraId="043FFD38">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南至燕都路现状北侧路缘线；</w:t>
            </w:r>
          </w:p>
          <w:p w14:paraId="181A9F7F">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西至粤垦路现状东侧路缘线。</w:t>
            </w:r>
          </w:p>
          <w:p w14:paraId="6CDBF87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从燕岭路（原广汕公路）看纪念碑正面，不能被建筑物遮挡。</w:t>
            </w:r>
          </w:p>
          <w:p w14:paraId="693FDC4E">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面积：27376平方米。</w:t>
            </w:r>
          </w:p>
        </w:tc>
      </w:tr>
      <w:tr w14:paraId="5B1B70C1">
        <w:tblPrEx>
          <w:tblCellMar>
            <w:top w:w="0" w:type="dxa"/>
            <w:left w:w="0" w:type="dxa"/>
            <w:bottom w:w="0" w:type="dxa"/>
            <w:right w:w="0" w:type="dxa"/>
          </w:tblCellMar>
        </w:tblPrEx>
        <w:trPr>
          <w:trHeight w:val="1552"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4636081A">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000000"/>
                <w:kern w:val="24"/>
                <w:sz w:val="21"/>
                <w:szCs w:val="21"/>
              </w:rPr>
              <w:t>13</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2D56DA80">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柯拜船坞旧址</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76C51EC">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黄埔区长洲街道黄船社区</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8BB6A6E">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南、北从文物本体外缘外延10米；</w:t>
            </w:r>
          </w:p>
          <w:p w14:paraId="3B04E6BB">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东至东侧相邻建筑西墙线；</w:t>
            </w:r>
          </w:p>
          <w:p w14:paraId="6D9B719C">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西至西侧相邻建筑东墙线。</w:t>
            </w:r>
          </w:p>
          <w:p w14:paraId="47F3A9BE">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面积：5898平方米。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5465804">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北、东、西、南从保护范围外延30米。</w:t>
            </w:r>
          </w:p>
          <w:p w14:paraId="64301A74">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面积：16682平方米。</w:t>
            </w:r>
          </w:p>
        </w:tc>
      </w:tr>
      <w:tr w14:paraId="18ADDC2E">
        <w:tblPrEx>
          <w:tblCellMar>
            <w:top w:w="0" w:type="dxa"/>
            <w:left w:w="0" w:type="dxa"/>
            <w:bottom w:w="0" w:type="dxa"/>
            <w:right w:w="0" w:type="dxa"/>
          </w:tblCellMar>
        </w:tblPrEx>
        <w:trPr>
          <w:trHeight w:val="1311"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70979393">
            <w:pPr>
              <w:pStyle w:val="6"/>
              <w:widowControl/>
              <w:spacing w:before="0" w:beforeAutospacing="0" w:after="0" w:afterAutospacing="0" w:line="360" w:lineRule="exact"/>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000000"/>
                <w:kern w:val="24"/>
                <w:sz w:val="21"/>
                <w:szCs w:val="21"/>
              </w:rPr>
              <w:t>14</w:t>
            </w:r>
          </w:p>
        </w:tc>
        <w:tc>
          <w:tcPr>
            <w:tcW w:w="162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02D43C0A">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飞泉洞摩崖石刻</w:t>
            </w:r>
          </w:p>
        </w:tc>
        <w:tc>
          <w:tcPr>
            <w:tcW w:w="1796"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15A64AB8">
            <w:pPr>
              <w:pStyle w:val="6"/>
              <w:widowControl/>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增城区增江街道光辉村</w:t>
            </w:r>
          </w:p>
        </w:tc>
        <w:tc>
          <w:tcPr>
            <w:tcW w:w="4965"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3CB25AE7">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北、西、南至现状围墙边线；</w:t>
            </w:r>
          </w:p>
          <w:p w14:paraId="58D98F9A">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东从北崖石刻本体范围外缘外延5米。</w:t>
            </w:r>
          </w:p>
          <w:p w14:paraId="36D71C96">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面积：1601平方米。</w:t>
            </w:r>
          </w:p>
        </w:tc>
        <w:tc>
          <w:tcPr>
            <w:tcW w:w="49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14:paraId="5BAF50CC">
            <w:pPr>
              <w:pStyle w:val="6"/>
              <w:widowControl/>
              <w:spacing w:before="0" w:beforeAutospacing="0" w:after="0" w:afterAutospacing="0" w:line="360" w:lineRule="exact"/>
              <w:textAlignment w:val="center"/>
              <w:rPr>
                <w:rFonts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东、南、西、北从保护范围外缘外延30米。</w:t>
            </w:r>
          </w:p>
          <w:p w14:paraId="42B63C0F">
            <w:pPr>
              <w:pStyle w:val="6"/>
              <w:widowControl/>
              <w:spacing w:before="0" w:beforeAutospacing="0" w:after="0" w:afterAutospacing="0" w:line="360" w:lineRule="exact"/>
              <w:ind w:left="0" w:leftChars="0" w:right="0" w:rightChars="0"/>
              <w:textAlignment w:val="center"/>
              <w:rPr>
                <w:rFonts w:hint="default" w:ascii="Times New Roman" w:hAnsi="Times New Roman" w:eastAsia="宋体" w:cs="Times New Roman"/>
                <w:color w:val="000000"/>
                <w:kern w:val="24"/>
                <w:sz w:val="21"/>
                <w:szCs w:val="21"/>
                <w:lang w:val="en-US" w:eastAsia="zh-CN" w:bidi="ar"/>
              </w:rPr>
            </w:pPr>
            <w:r>
              <w:rPr>
                <w:rFonts w:hint="default" w:ascii="Times New Roman" w:hAnsi="Times New Roman" w:eastAsia="宋体" w:cs="Times New Roman"/>
                <w:color w:val="000000"/>
                <w:kern w:val="24"/>
                <w:sz w:val="21"/>
                <w:szCs w:val="21"/>
              </w:rPr>
              <w:t>面积：7733平方米。</w:t>
            </w:r>
          </w:p>
        </w:tc>
      </w:tr>
    </w:tbl>
    <w:p w14:paraId="2B721E1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F0091"/>
    <w:rsid w:val="50EF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2025-02-08T07:13:00Z</dcterms:created>
  <dc:creator>Cheny</dc:creator>
  <cp:lastModifiedBy>Cheny</cp:lastModifiedBy>
  <dcterms:modified xsi:type="dcterms:W3CDTF">2025-02-08T07:13:35Z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C05D3FB6F733412B995A0C47F3D9FA73_11</vt:lpwstr>
  </property>
  <property fmtid="{D5CDD505-2E9C-101B-9397-08002B2CF9AE}" pid="4" name="KSOTemplateDocerSaveRecord">
    <vt:lpwstr>eyJoZGlkIjoiNWExMjY5OWIxZTI4NjZiNTYwNTQwZmVkMGY2NzA3MGEiLCJ1c2VySWQiOiI1OTc4NzAwNzAifQ==</vt:lpwstr>
  </property>
</Properties>
</file>