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C96D4E">
      <w:pPr>
        <w:keepNext w:val="0"/>
        <w:keepLines w:val="0"/>
        <w:pageBreakBefore w:val="0"/>
        <w:widowControl/>
        <w:kinsoku/>
        <w:wordWrap/>
        <w:overflowPunct/>
        <w:topLinePunct w:val="0"/>
        <w:autoSpaceDE/>
        <w:autoSpaceDN/>
        <w:bidi w:val="0"/>
        <w:adjustRightInd/>
        <w:snapToGrid/>
        <w:spacing w:line="360" w:lineRule="auto"/>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附件1</w:t>
      </w:r>
    </w:p>
    <w:p w14:paraId="647C331D">
      <w:pPr>
        <w:keepNext w:val="0"/>
        <w:keepLines w:val="0"/>
        <w:pageBreakBefore w:val="0"/>
        <w:kinsoku/>
        <w:wordWrap/>
        <w:overflowPunct/>
        <w:topLinePunct w:val="0"/>
        <w:autoSpaceDE/>
        <w:autoSpaceDN/>
        <w:bidi w:val="0"/>
        <w:adjustRightInd/>
        <w:snapToGrid/>
        <w:spacing w:line="360" w:lineRule="auto"/>
        <w:jc w:val="both"/>
        <w:rPr>
          <w:rFonts w:hint="default" w:ascii="方正小标宋_GBK" w:hAnsi="方正小标宋_GBK" w:eastAsia="方正小标宋_GBK" w:cs="宋体"/>
          <w:b/>
          <w:sz w:val="44"/>
          <w:lang w:val="en-US" w:eastAsia="zh-CN"/>
        </w:rPr>
      </w:pPr>
    </w:p>
    <w:p w14:paraId="58D8A47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宋体"/>
          <w:b w:val="0"/>
          <w:bCs/>
          <w:sz w:val="44"/>
        </w:rPr>
      </w:pPr>
      <w:bookmarkStart w:id="12" w:name="_GoBack"/>
      <w:r>
        <w:rPr>
          <w:rFonts w:hint="eastAsia" w:ascii="方正小标宋_GBK" w:hAnsi="方正小标宋_GBK" w:eastAsia="方正小标宋_GBK" w:cs="宋体"/>
          <w:b w:val="0"/>
          <w:bCs/>
          <w:sz w:val="44"/>
        </w:rPr>
        <w:t>202</w:t>
      </w:r>
      <w:r>
        <w:rPr>
          <w:rFonts w:hint="eastAsia" w:ascii="方正小标宋_GBK" w:hAnsi="方正小标宋_GBK" w:eastAsia="方正小标宋_GBK" w:cs="宋体"/>
          <w:b w:val="0"/>
          <w:bCs/>
          <w:sz w:val="44"/>
          <w:lang w:val="en-US" w:eastAsia="zh-CN"/>
        </w:rPr>
        <w:t>4</w:t>
      </w:r>
      <w:r>
        <w:rPr>
          <w:rFonts w:hint="eastAsia" w:ascii="方正小标宋_GBK" w:hAnsi="方正小标宋_GBK" w:eastAsia="方正小标宋_GBK" w:cs="宋体"/>
          <w:b w:val="0"/>
          <w:bCs/>
          <w:sz w:val="44"/>
        </w:rPr>
        <w:t>年度</w:t>
      </w:r>
      <w:r>
        <w:rPr>
          <w:rFonts w:hint="eastAsia" w:ascii="方正小标宋_GBK" w:hAnsi="方正小标宋_GBK" w:eastAsia="方正小标宋_GBK" w:cs="宋体"/>
          <w:b w:val="0"/>
          <w:bCs/>
          <w:sz w:val="44"/>
        </w:rPr>
        <w:fldChar w:fldCharType="begin"/>
      </w:r>
      <w:r>
        <w:rPr>
          <w:rFonts w:hint="eastAsia" w:ascii="方正小标宋_GBK" w:hAnsi="方正小标宋_GBK" w:eastAsia="方正小标宋_GBK" w:cs="宋体"/>
          <w:b w:val="0"/>
          <w:bCs/>
          <w:sz w:val="44"/>
        </w:rPr>
        <w:instrText xml:space="preserve">ADDIN CNKISM.UserStyle</w:instrText>
      </w:r>
      <w:r>
        <w:rPr>
          <w:rFonts w:ascii="方正小标宋_GBK" w:hAnsi="方正小标宋_GBK" w:eastAsia="方正小标宋_GBK" w:cs="宋体"/>
          <w:b w:val="0"/>
          <w:bCs/>
          <w:sz w:val="44"/>
        </w:rPr>
        <w:instrText xml:space="preserve"> \* MERGEFORMAT </w:instrText>
      </w:r>
      <w:r>
        <w:rPr>
          <w:rFonts w:hint="eastAsia" w:ascii="方正小标宋_GBK" w:hAnsi="方正小标宋_GBK" w:eastAsia="方正小标宋_GBK" w:cs="宋体"/>
          <w:b w:val="0"/>
          <w:bCs/>
          <w:sz w:val="44"/>
        </w:rPr>
        <w:fldChar w:fldCharType="separate"/>
      </w:r>
      <w:r>
        <w:rPr>
          <w:rFonts w:hint="eastAsia" w:ascii="方正小标宋_GBK" w:hAnsi="方正小标宋_GBK" w:eastAsia="方正小标宋_GBK" w:cs="宋体"/>
          <w:b w:val="0"/>
          <w:bCs/>
          <w:sz w:val="44"/>
        </w:rPr>
        <w:fldChar w:fldCharType="end"/>
      </w:r>
      <w:r>
        <w:rPr>
          <w:rFonts w:hint="eastAsia" w:ascii="方正小标宋_GBK" w:hAnsi="方正小标宋_GBK" w:eastAsia="方正小标宋_GBK" w:cs="宋体"/>
          <w:b w:val="0"/>
          <w:bCs/>
          <w:sz w:val="44"/>
        </w:rPr>
        <w:t>广州市文化和旅游产业发展专项资金</w:t>
      </w:r>
      <w:r>
        <w:rPr>
          <w:rFonts w:hint="eastAsia" w:ascii="方正小标宋_GBK" w:hAnsi="方正小标宋_GBK" w:eastAsia="方正小标宋_GBK" w:cs="宋体"/>
          <w:b w:val="0"/>
          <w:bCs/>
          <w:sz w:val="44"/>
          <w:lang w:eastAsia="zh-CN"/>
        </w:rPr>
        <w:t>广州</w:t>
      </w:r>
      <w:r>
        <w:rPr>
          <w:rFonts w:hint="eastAsia" w:ascii="方正小标宋_GBK" w:hAnsi="方正小标宋_GBK" w:eastAsia="方正小标宋_GBK" w:cs="宋体"/>
          <w:b w:val="0"/>
          <w:bCs/>
          <w:sz w:val="44"/>
        </w:rPr>
        <w:t>“</w:t>
      </w:r>
      <w:r>
        <w:rPr>
          <w:rFonts w:hint="eastAsia" w:ascii="方正小标宋_GBK" w:hAnsi="方正小标宋_GBK" w:eastAsia="方正小标宋_GBK" w:cs="方正小标宋_GBK"/>
          <w:b w:val="0"/>
          <w:bCs/>
          <w:sz w:val="44"/>
          <w:szCs w:val="32"/>
          <w:lang w:eastAsia="zh-CN"/>
        </w:rPr>
        <w:t>城市文创礼物品牌建设</w:t>
      </w:r>
      <w:r>
        <w:rPr>
          <w:rFonts w:hint="eastAsia" w:ascii="方正小标宋_GBK" w:hAnsi="方正小标宋_GBK" w:eastAsia="方正小标宋_GBK" w:cs="宋体"/>
          <w:b w:val="0"/>
          <w:bCs/>
          <w:sz w:val="44"/>
        </w:rPr>
        <w:t>”</w:t>
      </w:r>
      <w:r>
        <w:rPr>
          <w:rFonts w:hint="eastAsia" w:ascii="方正小标宋_GBK" w:hAnsi="方正小标宋_GBK" w:eastAsia="方正小标宋_GBK" w:cs="宋体"/>
          <w:b w:val="0"/>
          <w:bCs/>
          <w:sz w:val="44"/>
          <w:lang w:val="en-US" w:eastAsia="zh-CN"/>
        </w:rPr>
        <w:t>项目</w:t>
      </w:r>
      <w:r>
        <w:rPr>
          <w:rFonts w:hint="eastAsia" w:ascii="方正小标宋_GBK" w:hAnsi="方正小标宋_GBK" w:eastAsia="方正小标宋_GBK" w:cs="宋体"/>
          <w:b w:val="0"/>
          <w:bCs/>
          <w:sz w:val="44"/>
        </w:rPr>
        <w:t>申报指南</w:t>
      </w:r>
    </w:p>
    <w:bookmarkEnd w:id="12"/>
    <w:p w14:paraId="1E86CDB5">
      <w:pPr>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eastAsia="仿宋_GB2312" w:cs="Times New Roman"/>
          <w:sz w:val="32"/>
          <w:szCs w:val="32"/>
          <w:highlight w:val="none"/>
        </w:rPr>
      </w:pPr>
    </w:p>
    <w:p w14:paraId="404F835E">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sz w:val="32"/>
          <w:szCs w:val="32"/>
          <w:highlight w:val="none"/>
        </w:rPr>
        <w:t>为深入学习贯彻习近平新时代中国特色社会主义思想，贯彻落实党的二十届三中全会精神，落实省委“1310”具体部署和市委“1312”思路举措，根据市委市政府关于建设文化强市、国际消费中心城市和高水平打造世界级旅游目的地工作要求，打造</w:t>
      </w:r>
      <w:r>
        <w:rPr>
          <w:rFonts w:hint="default" w:ascii="Times New Roman" w:hAnsi="Times New Roman" w:eastAsia="仿宋_GB2312" w:cs="Times New Roman"/>
          <w:sz w:val="32"/>
          <w:szCs w:val="32"/>
          <w:highlight w:val="none"/>
          <w:lang w:eastAsia="zh-CN"/>
        </w:rPr>
        <w:t>广州</w:t>
      </w:r>
      <w:r>
        <w:rPr>
          <w:rFonts w:hint="default" w:ascii="Times New Roman" w:hAnsi="Times New Roman" w:eastAsia="仿宋_GB2312" w:cs="Times New Roman"/>
          <w:sz w:val="32"/>
          <w:szCs w:val="32"/>
          <w:highlight w:val="none"/>
        </w:rPr>
        <w:t>城市文创礼物品牌，讲好广州故事、展示城市形象，赋能产业升级、助力高质量发展，提升广州建设中心型世界城市国际形象和文化自信，</w:t>
      </w:r>
      <w:r>
        <w:rPr>
          <w:rFonts w:hint="default" w:ascii="Times New Roman" w:hAnsi="Times New Roman" w:eastAsia="仿宋_GB2312" w:cs="Times New Roman"/>
          <w:sz w:val="32"/>
          <w:szCs w:val="32"/>
          <w:highlight w:val="none"/>
          <w:lang w:eastAsia="zh-CN"/>
        </w:rPr>
        <w:t>我局将开展“城市文创礼物品牌</w:t>
      </w:r>
      <w:r>
        <w:rPr>
          <w:rFonts w:hint="default" w:ascii="Times New Roman" w:hAnsi="Times New Roman" w:eastAsia="仿宋_GB2312" w:cs="Times New Roman"/>
          <w:sz w:val="32"/>
          <w:szCs w:val="32"/>
          <w:highlight w:val="none"/>
          <w:lang w:val="en-US" w:eastAsia="zh-CN"/>
        </w:rPr>
        <w:t>建设</w:t>
      </w:r>
      <w:r>
        <w:rPr>
          <w:rFonts w:hint="default" w:ascii="Times New Roman" w:hAnsi="Times New Roman" w:eastAsia="仿宋_GB2312" w:cs="Times New Roman"/>
          <w:sz w:val="32"/>
          <w:szCs w:val="32"/>
          <w:highlight w:val="none"/>
          <w:lang w:eastAsia="zh-CN"/>
        </w:rPr>
        <w:t>”专项资金的申报工作，</w:t>
      </w:r>
      <w:r>
        <w:rPr>
          <w:rFonts w:hint="default" w:ascii="Times New Roman" w:hAnsi="Times New Roman" w:eastAsia="仿宋_GB2312" w:cs="Times New Roman"/>
          <w:kern w:val="0"/>
          <w:sz w:val="32"/>
          <w:szCs w:val="32"/>
          <w:highlight w:val="none"/>
        </w:rPr>
        <w:t>根据《广州市文化和旅游产业发展专项资金管理办法》（以下简称《办法》），特制定本指南。</w:t>
      </w:r>
    </w:p>
    <w:p w14:paraId="6E6A7149">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一、申报主体</w:t>
      </w:r>
    </w:p>
    <w:p w14:paraId="2C53EEB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（一）申报主体应是在本市从事文化和旅游产业研发、生产、服务、管理的企业、事业单位、个体工商户、自然人和其他机构等；</w:t>
      </w:r>
    </w:p>
    <w:p w14:paraId="7AFA7B5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baseline"/>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（二）申报主体治理结构完善，财务制度健全，信用良好；</w:t>
      </w:r>
    </w:p>
    <w:p w14:paraId="7A08B42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baseline"/>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（三）申报主体提交的增加值、营业收入、纳税金额等经营指标数据和其他材料应客观真实；</w:t>
      </w:r>
    </w:p>
    <w:p w14:paraId="5726ABA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baseline"/>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　　（四）申报主体最近2年未发生较大以上安全生产事故、重大以上环境污染事故或其他重大以上违法行为。</w:t>
      </w:r>
    </w:p>
    <w:p w14:paraId="12F0D5A1">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（五）有下列情况之一的，不予扶持。</w:t>
      </w:r>
    </w:p>
    <w:p w14:paraId="25C498BD">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1、违反《广州市市级财政专项资金管理办法》有关规定，被禁止申报各项专项资金项目的；</w:t>
      </w:r>
    </w:p>
    <w:p w14:paraId="0A99C097">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2、同一企业（单位）同一项目当年度已经获得同级财政类扶持资金支持的</w:t>
      </w:r>
      <w:r>
        <w:rPr>
          <w:rFonts w:hint="default" w:ascii="Times New Roman" w:hAnsi="Times New Roman" w:eastAsia="仿宋_GB2312" w:cs="Times New Roman"/>
          <w:sz w:val="32"/>
          <w:szCs w:val="32"/>
          <w:highlight w:val="none"/>
          <w:lang w:eastAsia="zh-CN"/>
        </w:rPr>
        <w:t>。</w:t>
      </w:r>
    </w:p>
    <w:p w14:paraId="24609D1E">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黑体" w:hAnsi="黑体" w:eastAsia="黑体" w:cs="黑体"/>
          <w:kern w:val="0"/>
          <w:sz w:val="32"/>
          <w:szCs w:val="32"/>
          <w:highlight w:val="none"/>
        </w:rPr>
      </w:pPr>
      <w:bookmarkStart w:id="0" w:name="_Toc6981"/>
      <w:bookmarkStart w:id="1" w:name="_Toc15401"/>
      <w:bookmarkStart w:id="2" w:name="_Toc29521"/>
      <w:bookmarkStart w:id="3" w:name="_Toc13493"/>
      <w:r>
        <w:rPr>
          <w:rFonts w:hint="eastAsia" w:ascii="黑体" w:hAnsi="黑体" w:eastAsia="黑体" w:cs="黑体"/>
          <w:kern w:val="0"/>
          <w:sz w:val="32"/>
          <w:szCs w:val="32"/>
          <w:highlight w:val="none"/>
        </w:rPr>
        <w:t>二、扶持</w:t>
      </w:r>
      <w:bookmarkEnd w:id="0"/>
      <w:bookmarkEnd w:id="1"/>
      <w:bookmarkEnd w:id="2"/>
      <w:bookmarkEnd w:id="3"/>
      <w:r>
        <w:rPr>
          <w:rFonts w:hint="eastAsia" w:ascii="黑体" w:hAnsi="黑体" w:eastAsia="黑体" w:cs="黑体"/>
          <w:kern w:val="0"/>
          <w:sz w:val="32"/>
          <w:szCs w:val="32"/>
          <w:highlight w:val="none"/>
        </w:rPr>
        <w:t>方向</w:t>
      </w:r>
    </w:p>
    <w:p w14:paraId="4CFF35CF">
      <w:pPr>
        <w:keepNext w:val="0"/>
        <w:keepLines w:val="0"/>
        <w:pageBreakBefore w:val="0"/>
        <w:numPr>
          <w:ilvl w:val="0"/>
          <w:numId w:val="0"/>
        </w:numPr>
        <w:kinsoku/>
        <w:wordWrap/>
        <w:overflowPunct w:val="0"/>
        <w:topLinePunct/>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val="0"/>
          <w:color w:val="auto"/>
          <w:kern w:val="2"/>
          <w:sz w:val="32"/>
          <w:szCs w:val="32"/>
          <w:highlight w:val="none"/>
          <w:lang w:val="en-US" w:eastAsia="zh-CN" w:bidi="ar-SA"/>
        </w:rPr>
      </w:pPr>
      <w:bookmarkStart w:id="4" w:name="_Toc8339"/>
      <w:bookmarkStart w:id="5" w:name="_Toc4733"/>
      <w:bookmarkStart w:id="6" w:name="_Toc20673"/>
      <w:bookmarkStart w:id="7" w:name="_Toc15348"/>
      <w:r>
        <w:rPr>
          <w:rFonts w:hint="default" w:ascii="Times New Roman" w:hAnsi="Times New Roman" w:eastAsia="仿宋_GB2312" w:cs="Times New Roman"/>
          <w:b w:val="0"/>
          <w:bCs w:val="0"/>
          <w:color w:val="auto"/>
          <w:kern w:val="2"/>
          <w:sz w:val="32"/>
          <w:szCs w:val="32"/>
          <w:highlight w:val="none"/>
          <w:lang w:val="en-US" w:eastAsia="zh-CN" w:bidi="ar-SA"/>
        </w:rPr>
        <w:t xml:space="preserve">能将“城市文创礼物”打造成以高品质文化赋能经济高质量发展城市品牌，承载广州千年城脉、文脉、商脉的城市文化新载体。展示广州设计、广州制造、广州智造的城市形象新名片，打通产业链并赋能产业高质量发展的新质生产力。构建“城市文创礼物品牌”产品标准、运作体系、营销渠道，创新探索开放式、可持续性城市礼物商业模式。打造“城市文创礼物品牌”传播矩阵，扩大穗粤好物美誉度和影响力。     </w:t>
      </w:r>
    </w:p>
    <w:p w14:paraId="0CD520FB">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黑体" w:hAnsi="黑体" w:eastAsia="黑体" w:cs="黑体"/>
          <w:kern w:val="0"/>
          <w:sz w:val="32"/>
          <w:szCs w:val="32"/>
          <w:highlight w:val="none"/>
          <w:lang w:eastAsia="zh-CN"/>
        </w:rPr>
      </w:pPr>
      <w:r>
        <w:rPr>
          <w:rFonts w:hint="eastAsia" w:ascii="黑体" w:hAnsi="黑体" w:eastAsia="黑体" w:cs="黑体"/>
          <w:kern w:val="0"/>
          <w:sz w:val="32"/>
          <w:szCs w:val="32"/>
          <w:highlight w:val="none"/>
        </w:rPr>
        <w:t>三、资助</w:t>
      </w:r>
      <w:bookmarkEnd w:id="4"/>
      <w:bookmarkEnd w:id="5"/>
      <w:bookmarkEnd w:id="6"/>
      <w:bookmarkEnd w:id="7"/>
      <w:r>
        <w:rPr>
          <w:rFonts w:hint="eastAsia" w:ascii="黑体" w:hAnsi="黑体" w:eastAsia="黑体" w:cs="黑体"/>
          <w:kern w:val="0"/>
          <w:sz w:val="32"/>
          <w:szCs w:val="32"/>
          <w:highlight w:val="none"/>
          <w:lang w:eastAsia="zh-CN"/>
        </w:rPr>
        <w:t>项目</w:t>
      </w:r>
    </w:p>
    <w:p w14:paraId="323142E4">
      <w:pPr>
        <w:keepNext w:val="0"/>
        <w:keepLines w:val="0"/>
        <w:pageBreakBefore w:val="0"/>
        <w:numPr>
          <w:ilvl w:val="0"/>
          <w:numId w:val="0"/>
        </w:numPr>
        <w:kinsoku/>
        <w:wordWrap/>
        <w:overflowPunct w:val="0"/>
        <w:topLinePunct/>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资助项目为广州“城市文创礼物品牌”建设项目。具体内容：</w:t>
      </w:r>
    </w:p>
    <w:p w14:paraId="2978592D">
      <w:pPr>
        <w:keepNext w:val="0"/>
        <w:keepLines w:val="0"/>
        <w:pageBreakBefore w:val="0"/>
        <w:numPr>
          <w:ilvl w:val="0"/>
          <w:numId w:val="0"/>
        </w:numPr>
        <w:kinsoku/>
        <w:wordWrap/>
        <w:overflowPunct w:val="0"/>
        <w:topLinePunct/>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在标准制定端，制定“城市文创礼物品牌”“1+3”工作标准体系，“1”为品牌视觉系统，“3”分别为商品遴选和授权认证指南、专家库管理实施方案和门店及服务标准。</w:t>
      </w:r>
    </w:p>
    <w:p w14:paraId="30EAE6FF">
      <w:pPr>
        <w:keepNext w:val="0"/>
        <w:keepLines w:val="0"/>
        <w:pageBreakBefore w:val="0"/>
        <w:numPr>
          <w:ilvl w:val="0"/>
          <w:numId w:val="0"/>
        </w:numPr>
        <w:kinsoku/>
        <w:wordWrap/>
        <w:overflowPunct w:val="0"/>
        <w:topLinePunct/>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在产品征集端，面向全社会甚至全球开展产品征集活动，并通过企业自荐、品牌联名、设计大赛以及众筹等形式扩大产品来源，建立“广”式特色、品类丰富、质量上乘、动态开放的“城市文创礼物品牌”产品库。</w:t>
      </w:r>
    </w:p>
    <w:p w14:paraId="3B36B310">
      <w:pPr>
        <w:keepNext w:val="0"/>
        <w:keepLines w:val="0"/>
        <w:pageBreakBefore w:val="0"/>
        <w:numPr>
          <w:ilvl w:val="0"/>
          <w:numId w:val="0"/>
        </w:numPr>
        <w:kinsoku/>
        <w:wordWrap/>
        <w:overflowPunct w:val="0"/>
        <w:topLinePunct/>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在授权认证端，组建“城市文创礼物品牌”专家库，采用专家评选、市民游客及网民推荐、相关部门把关等方式对开发企业和候选产品进行遴选，采用“审批制”与“备案制”相结合方式，对符合标准的企业和产品进行品牌授权认证。获得授权的单位，可以按有关规定与市文化文物单位优先开展IP合作。</w:t>
      </w:r>
    </w:p>
    <w:p w14:paraId="139BEADE">
      <w:pPr>
        <w:keepNext w:val="0"/>
        <w:keepLines w:val="0"/>
        <w:pageBreakBefore w:val="0"/>
        <w:numPr>
          <w:ilvl w:val="0"/>
          <w:numId w:val="0"/>
        </w:numPr>
        <w:kinsoku/>
        <w:wordWrap/>
        <w:overflowPunct w:val="0"/>
        <w:topLinePunct/>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在品牌营销端，统一规范使用视觉系统，采用旗舰店、快闪店、专柜、自助零售机和线上电商平台等形式，推动“城市文创礼物品牌”实现“十进”（进城市地标、公园景区、交通枢纽、免税店、文化空间、星级酒店、热门商圈、活动展会、大型商超以及线上平台），并采用“城市合伙人”模式拓展与大平台、大渠道合作空间。</w:t>
      </w:r>
    </w:p>
    <w:p w14:paraId="24A79DCF">
      <w:pPr>
        <w:keepNext w:val="0"/>
        <w:keepLines w:val="0"/>
        <w:pageBreakBefore w:val="0"/>
        <w:widowControl/>
        <w:suppressLineNumbers w:val="0"/>
        <w:kinsoku/>
        <w:wordWrap/>
        <w:overflowPunct w:val="0"/>
        <w:topLinePunct/>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val="0"/>
          <w:sz w:val="32"/>
          <w:szCs w:val="32"/>
          <w:highlight w:val="none"/>
          <w:lang w:val="en-US"/>
        </w:rPr>
      </w:pPr>
      <w:r>
        <w:rPr>
          <w:rFonts w:hint="default" w:ascii="Times New Roman" w:hAnsi="Times New Roman" w:eastAsia="仿宋_GB2312" w:cs="Times New Roman"/>
          <w:b w:val="0"/>
          <w:bCs w:val="0"/>
          <w:color w:val="auto"/>
          <w:kern w:val="2"/>
          <w:sz w:val="32"/>
          <w:szCs w:val="32"/>
          <w:highlight w:val="none"/>
          <w:lang w:val="en-US" w:eastAsia="zh-CN" w:bidi="ar-SA"/>
        </w:rPr>
        <w:t>在数字平台端，</w:t>
      </w:r>
      <w:r>
        <w:rPr>
          <w:rFonts w:hint="default" w:ascii="Times New Roman" w:hAnsi="Times New Roman" w:eastAsia="仿宋_GB2312" w:cs="Times New Roman"/>
          <w:b w:val="0"/>
          <w:bCs w:val="0"/>
          <w:color w:val="000000"/>
          <w:kern w:val="0"/>
          <w:sz w:val="32"/>
          <w:szCs w:val="32"/>
          <w:highlight w:val="none"/>
          <w:lang w:val="en-US" w:eastAsia="zh-CN" w:bidi="ar"/>
        </w:rPr>
        <w:t>围绕“城市文创礼物品牌”IP，打造集“文化资产库、品牌商品库、合作伙伴库”于一体的“新质文化通”数字平台。将该平台建设成为“城市文创礼物品牌”产品展示、推广与销售中心和数字版权保护、运用与交易中心，实现“文化+百业”，助力广州产业高质量发展。</w:t>
      </w:r>
    </w:p>
    <w:p w14:paraId="54409C2C">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四、申报材料</w:t>
      </w:r>
    </w:p>
    <w:p w14:paraId="646AEED0">
      <w:pPr>
        <w:keepNext w:val="0"/>
        <w:keepLines w:val="0"/>
        <w:pageBreakBefore w:val="0"/>
        <w:kinsoku/>
        <w:wordWrap/>
        <w:overflowPunct/>
        <w:topLinePunct w:val="0"/>
        <w:autoSpaceDE/>
        <w:autoSpaceDN/>
        <w:bidi w:val="0"/>
        <w:adjustRightInd/>
        <w:snapToGrid/>
        <w:spacing w:line="560" w:lineRule="exact"/>
        <w:ind w:firstLine="640" w:firstLineChars="200"/>
        <w:jc w:val="left"/>
        <w:rPr>
          <w:rFonts w:hint="default" w:ascii="Times New Roman" w:hAnsi="Times New Roman" w:eastAsia="仿宋_GB2312" w:cs="Times New Roman"/>
          <w:kern w:val="0"/>
          <w:sz w:val="32"/>
          <w:szCs w:val="32"/>
          <w:highlight w:val="none"/>
        </w:rPr>
      </w:pPr>
      <w:bookmarkStart w:id="8" w:name="_Toc15823"/>
      <w:bookmarkStart w:id="9" w:name="_Toc25846"/>
      <w:bookmarkStart w:id="10" w:name="_Toc14561"/>
      <w:bookmarkStart w:id="11" w:name="_Toc29569"/>
      <w:r>
        <w:rPr>
          <w:rFonts w:hint="default" w:ascii="Times New Roman" w:hAnsi="Times New Roman" w:eastAsia="仿宋_GB2312" w:cs="Times New Roman"/>
          <w:kern w:val="0"/>
          <w:sz w:val="32"/>
          <w:szCs w:val="32"/>
          <w:highlight w:val="none"/>
        </w:rPr>
        <w:t>1、《广州市文化旅游产业发展专项资金申报表》。</w:t>
      </w:r>
    </w:p>
    <w:p w14:paraId="366CB0F8">
      <w:pPr>
        <w:keepNext w:val="0"/>
        <w:keepLines w:val="0"/>
        <w:pageBreakBefore w:val="0"/>
        <w:kinsoku/>
        <w:wordWrap/>
        <w:overflowPunct/>
        <w:topLinePunct w:val="0"/>
        <w:autoSpaceDE/>
        <w:autoSpaceDN/>
        <w:bidi w:val="0"/>
        <w:adjustRightInd/>
        <w:snapToGrid/>
        <w:spacing w:line="560" w:lineRule="exact"/>
        <w:ind w:firstLine="640" w:firstLineChars="200"/>
        <w:jc w:val="left"/>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2、申报单位证明材料：营业执照、税务登记证、组织机构代码证或三证合一的营业执照（复印件）及法定代表人或者主要负责人身份证明材料。</w:t>
      </w:r>
    </w:p>
    <w:p w14:paraId="691A4C5C">
      <w:pPr>
        <w:keepNext w:val="0"/>
        <w:keepLines w:val="0"/>
        <w:pageBreakBefore w:val="0"/>
        <w:kinsoku/>
        <w:wordWrap/>
        <w:overflowPunct/>
        <w:topLinePunct w:val="0"/>
        <w:autoSpaceDE/>
        <w:autoSpaceDN/>
        <w:bidi w:val="0"/>
        <w:adjustRightInd/>
        <w:snapToGrid/>
        <w:spacing w:line="560" w:lineRule="exact"/>
        <w:ind w:firstLine="640" w:firstLineChars="200"/>
        <w:jc w:val="left"/>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3、经注册会计师事务所审计的上一年度单位财务会计报表及审计报告。</w:t>
      </w:r>
      <w:r>
        <w:rPr>
          <w:rFonts w:hint="default" w:ascii="Times New Roman" w:hAnsi="Times New Roman" w:eastAsia="仿宋_GB2312" w:cs="Times New Roman"/>
          <w:kern w:val="0"/>
          <w:sz w:val="32"/>
          <w:szCs w:val="32"/>
          <w:highlight w:val="none"/>
          <w:lang w:val="en-US" w:eastAsia="zh-CN"/>
        </w:rPr>
        <w:t>如确无有关报表或报告，需提供理据充分的纸质情况说明。</w:t>
      </w:r>
    </w:p>
    <w:p w14:paraId="4EB1EA9E">
      <w:pPr>
        <w:keepNext w:val="0"/>
        <w:keepLines w:val="0"/>
        <w:pageBreakBefore w:val="0"/>
        <w:kinsoku/>
        <w:wordWrap/>
        <w:overflowPunct/>
        <w:topLinePunct w:val="0"/>
        <w:autoSpaceDE/>
        <w:autoSpaceDN/>
        <w:bidi w:val="0"/>
        <w:adjustRightInd/>
        <w:snapToGrid/>
        <w:spacing w:line="560" w:lineRule="exact"/>
        <w:ind w:firstLine="640" w:firstLineChars="200"/>
        <w:jc w:val="left"/>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4、承诺书。</w:t>
      </w:r>
    </w:p>
    <w:p w14:paraId="5C272CF0">
      <w:pPr>
        <w:keepNext w:val="0"/>
        <w:keepLines w:val="0"/>
        <w:pageBreakBefore w:val="0"/>
        <w:kinsoku/>
        <w:wordWrap/>
        <w:overflowPunct/>
        <w:topLinePunct w:val="0"/>
        <w:autoSpaceDE/>
        <w:autoSpaceDN/>
        <w:bidi w:val="0"/>
        <w:adjustRightInd/>
        <w:snapToGrid/>
        <w:spacing w:line="560" w:lineRule="exact"/>
        <w:ind w:firstLine="640" w:firstLineChars="200"/>
        <w:jc w:val="left"/>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5、</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b w:val="0"/>
          <w:bCs w:val="0"/>
          <w:color w:val="auto"/>
          <w:kern w:val="2"/>
          <w:sz w:val="32"/>
          <w:szCs w:val="32"/>
          <w:highlight w:val="none"/>
          <w:lang w:val="en-US" w:eastAsia="zh-CN" w:bidi="ar-SA"/>
        </w:rPr>
        <w:t>城市文创礼物品牌建设”总体工作方案、分项工作方案、</w:t>
      </w:r>
      <w:r>
        <w:rPr>
          <w:rFonts w:hint="default" w:ascii="Times New Roman" w:hAnsi="Times New Roman" w:eastAsia="仿宋_GB2312" w:cs="Times New Roman"/>
          <w:sz w:val="32"/>
          <w:szCs w:val="32"/>
          <w:highlight w:val="none"/>
          <w:lang w:eastAsia="zh-CN"/>
        </w:rPr>
        <w:t>视觉设计效果图、项目总投资及</w:t>
      </w:r>
      <w:r>
        <w:rPr>
          <w:rFonts w:hint="default" w:ascii="Times New Roman" w:hAnsi="Times New Roman" w:eastAsia="仿宋_GB2312" w:cs="Times New Roman"/>
          <w:b w:val="0"/>
          <w:bCs w:val="0"/>
          <w:color w:val="auto"/>
          <w:kern w:val="2"/>
          <w:sz w:val="32"/>
          <w:szCs w:val="32"/>
          <w:highlight w:val="none"/>
          <w:lang w:val="en-US" w:eastAsia="zh-CN" w:bidi="ar-SA"/>
        </w:rPr>
        <w:t>资金使用计划</w:t>
      </w:r>
      <w:r>
        <w:rPr>
          <w:rFonts w:hint="default" w:ascii="Times New Roman" w:hAnsi="Times New Roman" w:eastAsia="仿宋_GB2312" w:cs="Times New Roman"/>
          <w:sz w:val="32"/>
          <w:szCs w:val="32"/>
          <w:highlight w:val="none"/>
        </w:rPr>
        <w:t>。</w:t>
      </w:r>
    </w:p>
    <w:p w14:paraId="7CE4239D">
      <w:pPr>
        <w:keepNext w:val="0"/>
        <w:keepLines w:val="0"/>
        <w:pageBreakBefore w:val="0"/>
        <w:kinsoku/>
        <w:wordWrap/>
        <w:overflowPunct/>
        <w:topLinePunct w:val="0"/>
        <w:autoSpaceDE/>
        <w:autoSpaceDN/>
        <w:bidi w:val="0"/>
        <w:adjustRightInd/>
        <w:snapToGrid/>
        <w:spacing w:line="560" w:lineRule="exact"/>
        <w:ind w:firstLine="640" w:firstLineChars="200"/>
        <w:jc w:val="left"/>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sz w:val="32"/>
          <w:szCs w:val="32"/>
          <w:highlight w:val="none"/>
        </w:rPr>
        <w:t>6、广东政务服务网办事指南及具体通知文件中列明需提交的其他申报材料。</w:t>
      </w:r>
    </w:p>
    <w:p w14:paraId="46DDA05E">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五、申报程序</w:t>
      </w:r>
      <w:bookmarkEnd w:id="8"/>
      <w:bookmarkEnd w:id="9"/>
      <w:bookmarkEnd w:id="10"/>
      <w:bookmarkEnd w:id="11"/>
    </w:p>
    <w:p w14:paraId="2A192C56">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（一）各申报单位按照项目的公开申报时间，在广东政务服务网</w:t>
      </w:r>
      <w:r>
        <w:rPr>
          <w:rFonts w:hint="default" w:ascii="Times New Roman" w:hAnsi="Times New Roman" w:eastAsia="仿宋_GB2312" w:cs="Times New Roman"/>
          <w:sz w:val="32"/>
          <w:szCs w:val="32"/>
          <w:highlight w:val="none"/>
          <w:lang w:val="en-US" w:eastAsia="zh-CN"/>
        </w:rPr>
        <w:t>下载申</w:t>
      </w:r>
      <w:r>
        <w:rPr>
          <w:rFonts w:hint="default" w:ascii="Times New Roman" w:hAnsi="Times New Roman" w:eastAsia="仿宋_GB2312" w:cs="Times New Roman"/>
          <w:sz w:val="32"/>
          <w:szCs w:val="32"/>
          <w:highlight w:val="none"/>
        </w:rPr>
        <w:t>报项目申请相关材料，并</w:t>
      </w:r>
      <w:r>
        <w:rPr>
          <w:rFonts w:hint="default" w:ascii="Times New Roman" w:hAnsi="Times New Roman" w:eastAsia="仿宋_GB2312" w:cs="Times New Roman"/>
          <w:sz w:val="32"/>
          <w:szCs w:val="32"/>
          <w:highlight w:val="none"/>
          <w:lang w:val="en-US" w:eastAsia="zh-CN"/>
        </w:rPr>
        <w:t>按时</w:t>
      </w:r>
      <w:r>
        <w:rPr>
          <w:rFonts w:hint="default" w:ascii="Times New Roman" w:hAnsi="Times New Roman" w:eastAsia="仿宋_GB2312" w:cs="Times New Roman"/>
          <w:sz w:val="32"/>
          <w:szCs w:val="32"/>
          <w:highlight w:val="none"/>
        </w:rPr>
        <w:t>将装订成册的纸质版</w:t>
      </w:r>
      <w:r>
        <w:rPr>
          <w:rFonts w:hint="default"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lang w:val="en-US" w:eastAsia="zh-CN"/>
        </w:rPr>
        <w:t>含U盘</w:t>
      </w:r>
      <w:r>
        <w:rPr>
          <w:rFonts w:hint="default"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sz w:val="32"/>
          <w:szCs w:val="32"/>
          <w:highlight w:val="none"/>
        </w:rPr>
        <w:t>项目申请材料提交至广州市政务服务中心申报业务受理窗口，逾期不予受理。</w:t>
      </w:r>
    </w:p>
    <w:p w14:paraId="4F7A9715">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（二）综合评估。由广州市文化广电旅游局对申报</w:t>
      </w:r>
      <w:r>
        <w:rPr>
          <w:rFonts w:hint="default" w:ascii="Times New Roman" w:hAnsi="Times New Roman" w:eastAsia="仿宋_GB2312" w:cs="Times New Roman"/>
          <w:sz w:val="32"/>
          <w:szCs w:val="32"/>
          <w:highlight w:val="none"/>
          <w:lang w:eastAsia="zh-CN"/>
        </w:rPr>
        <w:t>材料</w:t>
      </w:r>
      <w:r>
        <w:rPr>
          <w:rFonts w:hint="default" w:ascii="Times New Roman" w:hAnsi="Times New Roman" w:eastAsia="仿宋_GB2312" w:cs="Times New Roman"/>
          <w:sz w:val="32"/>
          <w:szCs w:val="32"/>
          <w:highlight w:val="none"/>
        </w:rPr>
        <w:t>进行综合评</w:t>
      </w:r>
      <w:r>
        <w:rPr>
          <w:rFonts w:hint="default" w:ascii="Times New Roman" w:hAnsi="Times New Roman" w:eastAsia="仿宋_GB2312" w:cs="Times New Roman"/>
          <w:sz w:val="32"/>
          <w:szCs w:val="32"/>
          <w:highlight w:val="none"/>
          <w:lang w:eastAsia="zh-CN"/>
        </w:rPr>
        <w:t>审</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择优选取一家单位作为广州“城市文创礼物品牌建设”项目前期工作的执行单位</w:t>
      </w:r>
      <w:r>
        <w:rPr>
          <w:rFonts w:hint="default" w:ascii="Times New Roman" w:hAnsi="Times New Roman" w:eastAsia="仿宋_GB2312" w:cs="Times New Roman"/>
          <w:sz w:val="32"/>
          <w:szCs w:val="32"/>
          <w:highlight w:val="none"/>
        </w:rPr>
        <w:t>。</w:t>
      </w:r>
    </w:p>
    <w:p w14:paraId="60892F61">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（三）主管单位审定。按程序由广州市文化广电旅游局党组</w:t>
      </w:r>
      <w:r>
        <w:rPr>
          <w:rFonts w:hint="default" w:ascii="Times New Roman" w:hAnsi="Times New Roman" w:eastAsia="仿宋_GB2312" w:cs="Times New Roman"/>
          <w:sz w:val="32"/>
          <w:szCs w:val="32"/>
          <w:highlight w:val="none"/>
          <w:lang w:eastAsia="zh-CN"/>
        </w:rPr>
        <w:t>会议</w:t>
      </w:r>
      <w:r>
        <w:rPr>
          <w:rFonts w:hint="default" w:ascii="Times New Roman" w:hAnsi="Times New Roman" w:eastAsia="仿宋_GB2312" w:cs="Times New Roman"/>
          <w:sz w:val="32"/>
          <w:szCs w:val="32"/>
          <w:highlight w:val="none"/>
        </w:rPr>
        <w:t>审定</w:t>
      </w:r>
      <w:r>
        <w:rPr>
          <w:rFonts w:hint="default" w:ascii="Times New Roman" w:hAnsi="Times New Roman" w:eastAsia="仿宋_GB2312" w:cs="Times New Roman"/>
          <w:sz w:val="32"/>
          <w:szCs w:val="32"/>
          <w:highlight w:val="none"/>
          <w:lang w:eastAsia="zh-CN"/>
        </w:rPr>
        <w:t>评审结果</w:t>
      </w:r>
      <w:r>
        <w:rPr>
          <w:rFonts w:hint="default" w:ascii="Times New Roman" w:hAnsi="Times New Roman" w:eastAsia="仿宋_GB2312" w:cs="Times New Roman"/>
          <w:sz w:val="32"/>
          <w:szCs w:val="32"/>
          <w:highlight w:val="none"/>
        </w:rPr>
        <w:t>。</w:t>
      </w:r>
    </w:p>
    <w:p w14:paraId="4944D033">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（四）结果公示。评审结果在广东政务服务网及广州市文化广电旅游局官方网站公示。</w:t>
      </w:r>
    </w:p>
    <w:p w14:paraId="2F2B3645">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五</w:t>
      </w:r>
      <w:r>
        <w:rPr>
          <w:rFonts w:hint="default" w:ascii="Times New Roman" w:hAnsi="Times New Roman" w:eastAsia="仿宋_GB2312" w:cs="Times New Roman"/>
          <w:sz w:val="32"/>
          <w:szCs w:val="32"/>
          <w:highlight w:val="none"/>
        </w:rPr>
        <w:t>）拨付。市文化广电旅游局按照评审及公示结果拨付项目扶持经费。</w:t>
      </w:r>
    </w:p>
    <w:p w14:paraId="14E7FBC1">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六、申报要求</w:t>
      </w:r>
    </w:p>
    <w:p w14:paraId="26919045">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highlight w:val="none"/>
        </w:rPr>
      </w:pPr>
      <w:r>
        <w:rPr>
          <w:rFonts w:hint="default" w:ascii="楷体_GB2312" w:hAnsi="楷体_GB2312" w:eastAsia="楷体_GB2312" w:cs="楷体_GB2312"/>
          <w:sz w:val="32"/>
          <w:szCs w:val="32"/>
          <w:highlight w:val="none"/>
        </w:rPr>
        <w:t>（一）认真组织。</w:t>
      </w:r>
      <w:r>
        <w:rPr>
          <w:rFonts w:hint="default" w:ascii="Times New Roman" w:hAnsi="Times New Roman" w:eastAsia="仿宋_GB2312" w:cs="Times New Roman"/>
          <w:sz w:val="32"/>
          <w:szCs w:val="32"/>
          <w:highlight w:val="none"/>
        </w:rPr>
        <w:t xml:space="preserve">各申报主体应高度重视本次申报评审工作，从严把握标准，对照申报指南规定的条件与要求，认真准备申报材料，确保申报材料的真实性和准确性。 </w:t>
      </w:r>
    </w:p>
    <w:p w14:paraId="461EA86C">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highlight w:val="none"/>
        </w:rPr>
      </w:pPr>
      <w:r>
        <w:rPr>
          <w:rFonts w:hint="default" w:ascii="楷体_GB2312" w:hAnsi="楷体_GB2312" w:eastAsia="楷体_GB2312" w:cs="楷体_GB2312"/>
          <w:sz w:val="32"/>
          <w:szCs w:val="32"/>
          <w:highlight w:val="none"/>
        </w:rPr>
        <w:t>（二）如实申报。</w:t>
      </w:r>
      <w:r>
        <w:rPr>
          <w:rFonts w:hint="default" w:ascii="Times New Roman" w:hAnsi="Times New Roman" w:eastAsia="仿宋_GB2312" w:cs="Times New Roman"/>
          <w:sz w:val="32"/>
          <w:szCs w:val="32"/>
          <w:highlight w:val="none"/>
        </w:rPr>
        <w:t>各申报主体要按照真实、准确和完整的原则，认真填写相关表格，提供相应材料，对材料真实性负责，严禁重复申报、虚假申报、变相多头申报，并由法人代表亲笔签署申报承诺书。</w:t>
      </w:r>
    </w:p>
    <w:p w14:paraId="06A9588E">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highlight w:val="none"/>
        </w:rPr>
      </w:pPr>
      <w:r>
        <w:rPr>
          <w:rFonts w:hint="eastAsia" w:ascii="楷体_GB2312" w:hAnsi="楷体_GB2312" w:eastAsia="楷体_GB2312" w:cs="楷体_GB2312"/>
          <w:sz w:val="32"/>
          <w:szCs w:val="32"/>
          <w:highlight w:val="none"/>
        </w:rPr>
        <w:t>（三）监管到位。</w:t>
      </w:r>
      <w:r>
        <w:rPr>
          <w:rFonts w:hint="default" w:ascii="Times New Roman" w:hAnsi="Times New Roman" w:eastAsia="仿宋_GB2312" w:cs="Times New Roman"/>
          <w:sz w:val="32"/>
          <w:szCs w:val="32"/>
          <w:highlight w:val="none"/>
        </w:rPr>
        <w:t>各申报单位要重视申报项目的自我审查工作，市文化广电旅游局</w:t>
      </w:r>
      <w:r>
        <w:rPr>
          <w:rFonts w:hint="default" w:ascii="Times New Roman" w:hAnsi="Times New Roman" w:eastAsia="仿宋_GB2312" w:cs="Times New Roman"/>
          <w:sz w:val="32"/>
          <w:szCs w:val="32"/>
          <w:highlight w:val="none"/>
          <w:lang w:val="en-US" w:eastAsia="zh-CN"/>
        </w:rPr>
        <w:t>将</w:t>
      </w:r>
      <w:r>
        <w:rPr>
          <w:rFonts w:hint="default" w:ascii="Times New Roman" w:hAnsi="Times New Roman" w:eastAsia="仿宋_GB2312" w:cs="Times New Roman"/>
          <w:sz w:val="32"/>
          <w:szCs w:val="32"/>
          <w:highlight w:val="none"/>
        </w:rPr>
        <w:t>强化事前、事中、事后的监督检查，督促申报主体规范使用专项资金，确保专款专用，切实加强资金的管理。</w:t>
      </w:r>
    </w:p>
    <w:p w14:paraId="656C93F7">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highlight w:val="none"/>
        </w:rPr>
      </w:pPr>
    </w:p>
    <w:p w14:paraId="3F138D5B">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sz w:val="32"/>
          <w:szCs w:val="32"/>
        </w:rPr>
      </w:pPr>
    </w:p>
    <w:p w14:paraId="6571F4F8">
      <w:pPr>
        <w:pStyle w:val="2"/>
        <w:rPr>
          <w:rFonts w:hint="eastAsia" w:ascii="仿宋_GB2312" w:hAnsi="仿宋_GB2312" w:eastAsia="仿宋_GB2312"/>
          <w:sz w:val="32"/>
          <w:szCs w:val="32"/>
        </w:rPr>
      </w:pPr>
    </w:p>
    <w:p w14:paraId="1569B61B">
      <w:pPr>
        <w:rPr>
          <w:rFonts w:hint="eastAsia" w:ascii="仿宋_GB2312" w:hAnsi="仿宋_GB2312" w:eastAsia="仿宋_GB2312"/>
          <w:sz w:val="32"/>
          <w:szCs w:val="32"/>
        </w:rPr>
      </w:pPr>
    </w:p>
    <w:p w14:paraId="6D4B13C8">
      <w:pPr>
        <w:pStyle w:val="2"/>
        <w:rPr>
          <w:rFonts w:hint="eastAsia" w:ascii="仿宋_GB2312" w:hAnsi="仿宋_GB2312" w:eastAsia="仿宋_GB2312"/>
          <w:sz w:val="32"/>
          <w:szCs w:val="32"/>
        </w:rPr>
      </w:pPr>
    </w:p>
    <w:p w14:paraId="71B5BC2C">
      <w:pPr>
        <w:rPr>
          <w:rFonts w:hint="eastAsia" w:ascii="仿宋_GB2312" w:hAnsi="仿宋_GB2312" w:eastAsia="仿宋_GB2312"/>
          <w:sz w:val="32"/>
          <w:szCs w:val="32"/>
        </w:rPr>
      </w:pPr>
    </w:p>
    <w:p w14:paraId="41DAB810">
      <w:pPr>
        <w:pStyle w:val="2"/>
        <w:rPr>
          <w:rFonts w:hint="eastAsia" w:ascii="仿宋_GB2312" w:hAnsi="仿宋_GB2312" w:eastAsia="仿宋_GB2312"/>
          <w:sz w:val="32"/>
          <w:szCs w:val="32"/>
        </w:rPr>
      </w:pPr>
    </w:p>
    <w:p w14:paraId="4D999AC2">
      <w:pPr>
        <w:rPr>
          <w:rFonts w:hint="eastAsia" w:ascii="仿宋_GB2312" w:hAnsi="仿宋_GB2312" w:eastAsia="仿宋_GB2312"/>
          <w:sz w:val="32"/>
          <w:szCs w:val="32"/>
        </w:rPr>
      </w:pPr>
    </w:p>
    <w:p w14:paraId="13911E7C">
      <w:pPr>
        <w:pStyle w:val="2"/>
        <w:rPr>
          <w:rFonts w:hint="eastAsia"/>
        </w:rPr>
      </w:pPr>
    </w:p>
    <w:p w14:paraId="14A5138D">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sz w:val="32"/>
          <w:szCs w:val="32"/>
        </w:rPr>
      </w:pPr>
    </w:p>
    <w:p w14:paraId="3C950F4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xMjY5OWIxZTI4NjZiNTYwNTQwZmVkMGY2NzA3MGEifQ=="/>
  </w:docVars>
  <w:rsids>
    <w:rsidRoot w:val="3F4E1DE0"/>
    <w:rsid w:val="3F4E1D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spacing w:after="0" w:afterLines="0"/>
      <w:ind w:firstLine="200" w:firstLineChars="200"/>
    </w:pPr>
  </w:style>
  <w:style w:type="paragraph" w:styleId="3">
    <w:name w:val="Body Text Indent"/>
    <w:basedOn w:val="1"/>
    <w:next w:val="4"/>
    <w:qFormat/>
    <w:uiPriority w:val="0"/>
    <w:pPr>
      <w:spacing w:line="560" w:lineRule="exact"/>
      <w:ind w:firstLine="600" w:firstLineChars="200"/>
      <w:outlineLvl w:val="0"/>
    </w:pPr>
    <w:rPr>
      <w:rFonts w:ascii="仿宋_GB2312" w:hAnsi="Times New Roman" w:eastAsia="仿宋_GB2312" w:cs="Times New Roman"/>
      <w:sz w:val="30"/>
      <w:szCs w:val="24"/>
    </w:rPr>
  </w:style>
  <w:style w:type="paragraph" w:styleId="4">
    <w:name w:val="envelope return"/>
    <w:basedOn w:val="1"/>
    <w:qFormat/>
    <w:uiPriority w:val="99"/>
    <w:pPr>
      <w:snapToGrid w:val="0"/>
    </w:pPr>
    <w:rPr>
      <w:rFonts w:ascii="Arial" w:hAnsi="Arial" w:cs="Arial"/>
    </w:rPr>
  </w:style>
  <w:style w:type="paragraph" w:styleId="5">
    <w:name w:val="Normal (Web)"/>
    <w:basedOn w:val="1"/>
    <w:unhideWhenUsed/>
    <w:qFormat/>
    <w:uiPriority w:val="99"/>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2024-11-11T02:40:00Z</dcterms:created>
  <dc:creator>禾.</dc:creator>
  <cp:lastModifiedBy>禾.</cp:lastModifiedBy>
  <dcterms:modified xsi:type="dcterms:W3CDTF">2024-11-11T02:40:47Z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F0E293D4959A4BBE9F00720700FDC348_11</vt:lpwstr>
  </property>
</Properties>
</file>