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70" w:lineRule="exact"/>
        <w:rPr>
          <w:rFonts w:hint="eastAsia" w:ascii="宋体" w:hAnsi="宋体" w:eastAsia="仿宋_GB2312"/>
          <w:sz w:val="32"/>
          <w:szCs w:val="21"/>
        </w:rPr>
      </w:pPr>
      <w:r>
        <w:rPr>
          <w:rFonts w:hint="eastAsia" w:ascii="黑体" w:hAnsi="黑体" w:eastAsia="黑体"/>
          <w:sz w:val="32"/>
          <w:szCs w:val="21"/>
        </w:rPr>
        <w:t xml:space="preserve">附件1 </w:t>
      </w:r>
      <w:r>
        <w:rPr>
          <w:rFonts w:hint="eastAsia" w:ascii="宋体" w:hAnsi="宋体" w:eastAsia="仿宋_GB2312"/>
          <w:sz w:val="32"/>
          <w:szCs w:val="21"/>
        </w:rPr>
        <w:t xml:space="preserve"> </w:t>
      </w:r>
    </w:p>
    <w:p>
      <w:pPr>
        <w:pStyle w:val="6"/>
        <w:spacing w:line="570" w:lineRule="exact"/>
        <w:rPr>
          <w:rFonts w:hint="eastAsia" w:ascii="宋体" w:hAnsi="宋体" w:eastAsia="仿宋_GB2312"/>
          <w:sz w:val="32"/>
          <w:szCs w:val="21"/>
        </w:rPr>
      </w:pPr>
    </w:p>
    <w:p>
      <w:pPr>
        <w:pStyle w:val="6"/>
        <w:spacing w:line="570" w:lineRule="exact"/>
        <w:jc w:val="right"/>
        <w:rPr>
          <w:rFonts w:hint="eastAsia"/>
          <w:sz w:val="44"/>
        </w:rPr>
      </w:pPr>
      <w:r>
        <w:rPr>
          <w:rFonts w:hint="eastAsia" w:ascii="宋体" w:hAnsi="宋体" w:eastAsia="仿宋_GB2312"/>
          <w:sz w:val="32"/>
          <w:szCs w:val="21"/>
        </w:rPr>
        <w:t xml:space="preserve">        </w:t>
      </w:r>
      <w:r>
        <w:rPr>
          <w:rFonts w:eastAsia="仿宋_GB2312"/>
          <w:sz w:val="32"/>
          <w:szCs w:val="21"/>
        </w:rPr>
        <w:t xml:space="preserve">                            A</w:t>
      </w:r>
      <w:r>
        <w:rPr>
          <w:rFonts w:hAnsi="宋体" w:eastAsia="仿宋_GB2312"/>
          <w:sz w:val="32"/>
          <w:szCs w:val="21"/>
        </w:rPr>
        <w:t>类</w:t>
      </w:r>
    </w:p>
    <w:p>
      <w:pPr>
        <w:spacing w:line="570" w:lineRule="exact"/>
        <w:rPr>
          <w:sz w:val="44"/>
        </w:rPr>
      </w:pPr>
    </w:p>
    <w:p>
      <w:pPr>
        <w:spacing w:line="570" w:lineRule="exact"/>
        <w:ind w:right="11" w:firstLine="0"/>
        <w:jc w:val="left"/>
        <w:rPr>
          <w:rFonts w:hint="eastAsia" w:ascii="方正小标宋_GBK" w:eastAsia="方正小标宋_GBK"/>
          <w:bCs/>
          <w:sz w:val="44"/>
          <w:szCs w:val="44"/>
        </w:rPr>
      </w:pPr>
    </w:p>
    <w:p>
      <w:pPr>
        <w:spacing w:line="570" w:lineRule="exact"/>
        <w:ind w:right="11"/>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广州市人民政府办公厅关于政协</w:t>
      </w:r>
      <w:r>
        <w:rPr>
          <w:rFonts w:hint="eastAsia" w:ascii="方正小标宋_GBK" w:hAnsi="方正小标宋_GBK" w:eastAsia="方正小标宋_GBK" w:cs="方正小标宋_GBK"/>
          <w:bCs/>
          <w:sz w:val="44"/>
          <w:szCs w:val="44"/>
          <w:lang w:eastAsia="zh-CN"/>
        </w:rPr>
        <w:t>第十二</w:t>
      </w:r>
      <w:r>
        <w:rPr>
          <w:rFonts w:hint="eastAsia" w:ascii="方正小标宋_GBK" w:hAnsi="方正小标宋_GBK" w:eastAsia="方正小标宋_GBK" w:cs="方正小标宋_GBK"/>
          <w:bCs/>
          <w:sz w:val="44"/>
          <w:szCs w:val="44"/>
        </w:rPr>
        <w:t>届</w:t>
      </w:r>
    </w:p>
    <w:p>
      <w:pPr>
        <w:spacing w:line="570" w:lineRule="exact"/>
        <w:ind w:right="11"/>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广东省委员会第</w:t>
      </w:r>
      <w:r>
        <w:rPr>
          <w:rFonts w:hint="eastAsia" w:ascii="方正小标宋_GBK" w:hAnsi="方正小标宋_GBK" w:eastAsia="方正小标宋_GBK" w:cs="方正小标宋_GBK"/>
          <w:bCs/>
          <w:sz w:val="44"/>
          <w:szCs w:val="44"/>
          <w:lang w:val="en-US" w:eastAsia="zh-CN"/>
        </w:rPr>
        <w:t>4</w:t>
      </w:r>
      <w:r>
        <w:rPr>
          <w:rFonts w:hint="eastAsia" w:ascii="方正小标宋_GBK" w:hAnsi="方正小标宋_GBK" w:eastAsia="方正小标宋_GBK" w:cs="方正小标宋_GBK"/>
          <w:bCs/>
          <w:sz w:val="44"/>
          <w:szCs w:val="44"/>
        </w:rPr>
        <w:t>次会议第</w:t>
      </w:r>
      <w:r>
        <w:rPr>
          <w:rFonts w:hint="eastAsia" w:ascii="方正小标宋_GBK" w:hAnsi="方正小标宋_GBK" w:eastAsia="方正小标宋_GBK" w:cs="方正小标宋_GBK"/>
          <w:bCs/>
          <w:sz w:val="44"/>
          <w:szCs w:val="44"/>
          <w:lang w:val="en-US" w:eastAsia="zh-CN"/>
        </w:rPr>
        <w:t>20210864</w:t>
      </w:r>
      <w:r>
        <w:rPr>
          <w:rFonts w:hint="eastAsia" w:ascii="方正小标宋_GBK" w:hAnsi="方正小标宋_GBK" w:eastAsia="方正小标宋_GBK" w:cs="方正小标宋_GBK"/>
          <w:bCs/>
          <w:sz w:val="44"/>
          <w:szCs w:val="44"/>
        </w:rPr>
        <w:t>号</w:t>
      </w:r>
    </w:p>
    <w:p>
      <w:pPr>
        <w:spacing w:line="570" w:lineRule="exact"/>
        <w:ind w:right="11"/>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提案答复</w:t>
      </w:r>
    </w:p>
    <w:p>
      <w:pPr>
        <w:spacing w:line="570" w:lineRule="exact"/>
        <w:ind w:right="11"/>
        <w:jc w:val="center"/>
        <w:rPr>
          <w:rFonts w:hint="eastAsia" w:ascii="方正小标宋_GBK" w:eastAsia="楷体_GB2312"/>
          <w:bCs/>
          <w:sz w:val="44"/>
          <w:szCs w:val="44"/>
          <w:lang w:eastAsia="zh-CN"/>
        </w:rPr>
      </w:pP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rPr>
        <w:t>代拟稿</w:t>
      </w:r>
      <w:r>
        <w:rPr>
          <w:rFonts w:hint="eastAsia" w:ascii="楷体_GB2312" w:hAnsi="楷体_GB2312" w:eastAsia="楷体_GB2312" w:cs="楷体_GB2312"/>
          <w:bCs/>
          <w:sz w:val="32"/>
          <w:szCs w:val="32"/>
          <w:lang w:eastAsia="zh-CN"/>
        </w:rPr>
        <w:t>）</w:t>
      </w:r>
    </w:p>
    <w:p>
      <w:pPr>
        <w:spacing w:line="570" w:lineRule="exact"/>
        <w:ind w:right="11"/>
        <w:rPr>
          <w:rFonts w:hint="eastAsia" w:eastAsia="仿宋_GB2312"/>
          <w:sz w:val="32"/>
          <w:szCs w:val="32"/>
        </w:rPr>
      </w:pPr>
    </w:p>
    <w:p>
      <w:pPr>
        <w:spacing w:line="570" w:lineRule="exact"/>
        <w:ind w:right="11"/>
        <w:rPr>
          <w:rFonts w:hint="eastAsia" w:eastAsia="仿宋_GB2312"/>
          <w:sz w:val="32"/>
          <w:szCs w:val="32"/>
        </w:rPr>
      </w:pPr>
      <w:r>
        <w:rPr>
          <w:rFonts w:hint="eastAsia" w:eastAsia="仿宋_GB2312"/>
          <w:sz w:val="32"/>
          <w:szCs w:val="32"/>
          <w:lang w:eastAsia="zh-CN"/>
        </w:rPr>
        <w:t>谢有顺</w:t>
      </w:r>
      <w:r>
        <w:rPr>
          <w:rFonts w:hint="eastAsia" w:eastAsia="仿宋_GB2312"/>
          <w:sz w:val="32"/>
          <w:szCs w:val="32"/>
        </w:rPr>
        <w:t>委员：</w:t>
      </w:r>
    </w:p>
    <w:p>
      <w:pPr>
        <w:spacing w:line="570" w:lineRule="exact"/>
        <w:ind w:right="11" w:firstLine="630"/>
        <w:rPr>
          <w:rFonts w:hint="eastAsia" w:eastAsia="仿宋_GB2312"/>
          <w:sz w:val="32"/>
          <w:szCs w:val="32"/>
        </w:rPr>
      </w:pPr>
      <w:r>
        <w:rPr>
          <w:rFonts w:hint="eastAsia" w:eastAsia="仿宋_GB2312"/>
          <w:sz w:val="32"/>
          <w:szCs w:val="32"/>
        </w:rPr>
        <w:t>您提出的《关于健全和升级广州市图书馆功能建设的提案》（第20210804号）提案收悉，我市政府高度重视，积极组织</w:t>
      </w:r>
      <w:r>
        <w:rPr>
          <w:rFonts w:hint="eastAsia" w:eastAsia="仿宋_GB2312"/>
          <w:sz w:val="32"/>
          <w:szCs w:val="32"/>
          <w:lang w:eastAsia="zh-CN"/>
        </w:rPr>
        <w:t>广州市文化广电旅游局</w:t>
      </w:r>
      <w:r>
        <w:rPr>
          <w:rFonts w:hint="eastAsia" w:eastAsia="仿宋_GB2312"/>
          <w:sz w:val="32"/>
          <w:szCs w:val="32"/>
        </w:rPr>
        <w:t>等单位进行认真研究办理，并与您在</w:t>
      </w:r>
      <w:r>
        <w:rPr>
          <w:rFonts w:hint="eastAsia" w:eastAsia="仿宋_GB2312"/>
          <w:sz w:val="32"/>
          <w:szCs w:val="32"/>
          <w:lang w:val="en-US" w:eastAsia="zh-CN"/>
        </w:rPr>
        <w:t>3</w:t>
      </w:r>
      <w:r>
        <w:rPr>
          <w:rFonts w:hint="eastAsia" w:eastAsia="仿宋_GB2312"/>
          <w:sz w:val="32"/>
          <w:szCs w:val="32"/>
        </w:rPr>
        <w:t>月</w:t>
      </w:r>
      <w:r>
        <w:rPr>
          <w:rFonts w:hint="eastAsia" w:eastAsia="仿宋_GB2312"/>
          <w:sz w:val="32"/>
          <w:szCs w:val="32"/>
          <w:lang w:val="en-US" w:eastAsia="zh-CN"/>
        </w:rPr>
        <w:t>30</w:t>
      </w:r>
      <w:r>
        <w:rPr>
          <w:rFonts w:hint="eastAsia" w:eastAsia="仿宋_GB2312"/>
          <w:sz w:val="32"/>
          <w:szCs w:val="32"/>
        </w:rPr>
        <w:t>日进行了沟通，经综合</w:t>
      </w:r>
      <w:r>
        <w:rPr>
          <w:rFonts w:hint="eastAsia" w:eastAsia="仿宋_GB2312"/>
          <w:sz w:val="32"/>
          <w:szCs w:val="32"/>
          <w:lang w:eastAsia="zh-CN"/>
        </w:rPr>
        <w:t>广州市财政局</w:t>
      </w:r>
      <w:r>
        <w:rPr>
          <w:rFonts w:hint="eastAsia" w:eastAsia="仿宋_GB2312"/>
          <w:sz w:val="32"/>
          <w:szCs w:val="32"/>
        </w:rPr>
        <w:t>等会办单位意见，现将办理有关情况答复如下：</w:t>
      </w:r>
    </w:p>
    <w:p>
      <w:pPr>
        <w:spacing w:line="570" w:lineRule="exact"/>
        <w:ind w:right="11" w:firstLine="63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关于应加大投入，建设更多具规模的大中型图书馆的建议</w:t>
      </w:r>
    </w:p>
    <w:p>
      <w:pPr>
        <w:spacing w:line="570" w:lineRule="exact"/>
        <w:ind w:right="11" w:firstLine="630"/>
        <w:rPr>
          <w:rFonts w:hint="eastAsia" w:eastAsia="仿宋_GB2312"/>
          <w:sz w:val="32"/>
          <w:szCs w:val="32"/>
        </w:rPr>
      </w:pPr>
      <w:r>
        <w:rPr>
          <w:rFonts w:hint="eastAsia" w:eastAsia="仿宋_GB2312"/>
          <w:sz w:val="32"/>
          <w:szCs w:val="32"/>
        </w:rPr>
        <w:t>广州市政府历来重视公共图书馆建设，“十三五”期间公共图书馆建设成效显著，截至2020年底，广州市公共图书馆建筑面积合计为52.43万平方米，同比增长12.89%,其中，区级、市级公共图书馆建筑面积合计为30.47万平方米，占全市公共图书馆建筑面积58.12%。广州市已建成面向公众免费开放的图书馆294个，服务点和自助图书馆72个，面向特定群体开放服务点200个。</w:t>
      </w:r>
    </w:p>
    <w:p>
      <w:pPr>
        <w:spacing w:line="570" w:lineRule="exact"/>
        <w:ind w:right="11" w:firstLine="630"/>
        <w:rPr>
          <w:rFonts w:hint="eastAsia" w:eastAsia="仿宋_GB2312"/>
          <w:sz w:val="32"/>
          <w:szCs w:val="32"/>
        </w:rPr>
      </w:pPr>
      <w:r>
        <w:rPr>
          <w:rFonts w:hint="eastAsia" w:eastAsia="仿宋_GB2312"/>
          <w:sz w:val="32"/>
          <w:szCs w:val="32"/>
        </w:rPr>
        <w:t>目前，白云区、番禺区和花都区的图书馆新馆都将于今年年底开放，海珠区图书馆新馆也有望于年底封顶，广州市科技图书馆项目也正在推进中，天河区和荔湾区图书馆新馆的选址和立项已基本确定。未来几年广州市还将建成一批大中型图书馆，到2035年全市图书馆总数</w:t>
      </w:r>
      <w:r>
        <w:rPr>
          <w:rFonts w:hint="eastAsia" w:eastAsia="仿宋_GB2312"/>
          <w:sz w:val="32"/>
          <w:szCs w:val="32"/>
          <w:lang w:eastAsia="zh-CN"/>
        </w:rPr>
        <w:t>将</w:t>
      </w:r>
      <w:r>
        <w:rPr>
          <w:rFonts w:hint="eastAsia" w:eastAsia="仿宋_GB2312"/>
          <w:sz w:val="32"/>
          <w:szCs w:val="32"/>
        </w:rPr>
        <w:t>达到400</w:t>
      </w:r>
      <w:r>
        <w:rPr>
          <w:rFonts w:hint="eastAsia" w:eastAsia="仿宋_GB2312"/>
          <w:sz w:val="32"/>
          <w:szCs w:val="32"/>
          <w:lang w:eastAsia="zh-CN"/>
        </w:rPr>
        <w:t>个，</w:t>
      </w:r>
      <w:r>
        <w:rPr>
          <w:rFonts w:hint="eastAsia" w:eastAsia="仿宋_GB2312"/>
          <w:sz w:val="32"/>
          <w:szCs w:val="32"/>
        </w:rPr>
        <w:t>公共图书馆馆舍状况将有一个质的飞越。</w:t>
      </w:r>
    </w:p>
    <w:p>
      <w:pPr>
        <w:spacing w:line="570" w:lineRule="exact"/>
        <w:ind w:right="11" w:firstLine="63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二、关于让馆舍和空间设计更加科学合理的建议</w:t>
      </w:r>
    </w:p>
    <w:p>
      <w:pPr>
        <w:spacing w:line="570" w:lineRule="exact"/>
        <w:ind w:right="11" w:firstLine="630"/>
        <w:rPr>
          <w:rFonts w:hint="eastAsia" w:eastAsia="仿宋_GB2312"/>
          <w:sz w:val="32"/>
          <w:szCs w:val="32"/>
        </w:rPr>
      </w:pPr>
      <w:r>
        <w:rPr>
          <w:rFonts w:hint="eastAsia" w:eastAsia="仿宋_GB2312"/>
          <w:sz w:val="32"/>
          <w:szCs w:val="32"/>
        </w:rPr>
        <w:t>图书馆空间再造一直是业界思考的重点问题。经历以藏书功能为主的第一代图书馆和注重开放阋读的第二代图书馆发展阶段，图书馆正朝着强调多功能一体化的第三代图书馆进发。打造多维交流、促进终身学习、将图书馆塑造成为公众的“书房、客厅、工作室”，是第三代图书馆的发展方向。未来广州图书馆应以“智慧、创新和包容”的理念规划阅读空间、交流空间、主题空间和体验空间等文化空间)，兼顾不同需求，在空间资源有限的前提下，细化自修区设置，适当增加阅览座位，同时优化馆藏空间，增加活动共享空间，不断满足读者个性化、精细化的阅读需求。</w:t>
      </w:r>
    </w:p>
    <w:p>
      <w:pPr>
        <w:spacing w:line="570" w:lineRule="exact"/>
        <w:ind w:right="11" w:firstLine="630"/>
        <w:rPr>
          <w:rFonts w:hint="eastAsia" w:ascii="黑体" w:hAnsi="黑体" w:eastAsia="黑体" w:cs="黑体"/>
          <w:b w:val="0"/>
          <w:bCs w:val="0"/>
          <w:sz w:val="32"/>
          <w:szCs w:val="32"/>
        </w:rPr>
      </w:pPr>
      <w:r>
        <w:rPr>
          <w:rFonts w:hint="eastAsia" w:ascii="黑体" w:hAnsi="黑体" w:eastAsia="黑体" w:cs="黑体"/>
          <w:b w:val="0"/>
          <w:bCs w:val="0"/>
          <w:sz w:val="32"/>
          <w:szCs w:val="32"/>
        </w:rPr>
        <w:t>三、关于解决馆藏复本和新书上架率不足问题的建议</w:t>
      </w:r>
    </w:p>
    <w:p>
      <w:pPr>
        <w:spacing w:line="570" w:lineRule="exact"/>
        <w:ind w:right="11" w:firstLine="630"/>
        <w:rPr>
          <w:rFonts w:hint="eastAsia" w:eastAsia="仿宋_GB2312"/>
          <w:sz w:val="32"/>
          <w:szCs w:val="32"/>
        </w:rPr>
      </w:pPr>
      <w:r>
        <w:rPr>
          <w:rFonts w:hint="eastAsia" w:eastAsia="仿宋_GB2312"/>
          <w:sz w:val="32"/>
          <w:szCs w:val="32"/>
        </w:rPr>
        <w:t>广州市公共图书馆非常重视馆藏资源建设，通过建立专门的</w:t>
      </w:r>
      <w:bookmarkStart w:id="0" w:name="_GoBack"/>
      <w:bookmarkEnd w:id="0"/>
      <w:r>
        <w:rPr>
          <w:rFonts w:hint="eastAsia" w:eastAsia="仿宋_GB2312"/>
          <w:sz w:val="32"/>
          <w:szCs w:val="32"/>
        </w:rPr>
        <w:t>工作机制，根据文献流通统计报表、读者阅读需求调研、馆员反馈建议等多种途径把握用户阅读需求变化及新阅读热点，及时调整采访策略，在保障图书品种数的同时努力保障复本量，尽力满足读者动态化、多样化和个性化阅读需求，提高经费使用效益。在文献采购方式上，通过现采、读者荐购、媒体宣传推介、实体书店与电商的销售排行榜、出版动态及业务系统上的读者预约排行榜等多种渠道收集和掌握文献信息，密切关注图书市场上的畅销书品种，及时增加复本或补购，以期实现文献采购的时效性、采全率和公平性，逐步形成兼顾各层次读者需求，打造服务大众和专业读者的文献信息资源采选体系。随着科学技术的进步，数字阅读资源的推广，未来有望通过数字版本来解决复本和新书不足的问题。</w:t>
      </w:r>
    </w:p>
    <w:p>
      <w:pPr>
        <w:spacing w:line="570" w:lineRule="exact"/>
        <w:ind w:right="11" w:firstLine="630"/>
        <w:rPr>
          <w:rFonts w:hint="eastAsia" w:ascii="黑体" w:hAnsi="黑体" w:eastAsia="黑体" w:cs="黑体"/>
          <w:b w:val="0"/>
          <w:bCs w:val="0"/>
          <w:sz w:val="32"/>
          <w:szCs w:val="32"/>
        </w:rPr>
      </w:pPr>
      <w:r>
        <w:rPr>
          <w:rFonts w:hint="eastAsia" w:ascii="黑体" w:hAnsi="黑体" w:eastAsia="黑体" w:cs="黑体"/>
          <w:b w:val="0"/>
          <w:bCs w:val="0"/>
          <w:sz w:val="32"/>
          <w:szCs w:val="32"/>
        </w:rPr>
        <w:t>四、关于多建设24小时自助图书馆的建议</w:t>
      </w:r>
    </w:p>
    <w:p>
      <w:pPr>
        <w:spacing w:line="570" w:lineRule="exact"/>
        <w:ind w:right="11" w:firstLine="630"/>
        <w:rPr>
          <w:rFonts w:hint="eastAsia" w:eastAsia="仿宋_GB2312"/>
          <w:sz w:val="32"/>
          <w:szCs w:val="32"/>
        </w:rPr>
      </w:pPr>
      <w:r>
        <w:rPr>
          <w:rFonts w:hint="eastAsia" w:eastAsia="仿宋_GB2312"/>
          <w:sz w:val="32"/>
          <w:szCs w:val="32"/>
        </w:rPr>
        <w:t>目前广州已投入40台24小时自助图书馆，但是藏书量比较少（约400本），读者体验感不佳，且相关设备故障率高，使用和维护成本高，曾经组织业界专家专题研究讨论，一致认为广州市图书馆应通过互联网技术，通过网络借还书的方式满足群众阅读学习的需求，推广送书上门服务，为读者提供足不出户享受图书借阅的便利。目前广州图书馆推出的网借书库已经有约26万册的藏书，读者可以通过手机或电脑下单，由邮政快递将选定的书籍快递到家。</w:t>
      </w:r>
    </w:p>
    <w:p>
      <w:pPr>
        <w:spacing w:line="570" w:lineRule="exact"/>
        <w:ind w:right="11" w:firstLine="630"/>
        <w:rPr>
          <w:rFonts w:hint="eastAsia" w:eastAsia="仿宋_GB2312"/>
          <w:b/>
          <w:bCs/>
          <w:sz w:val="32"/>
          <w:szCs w:val="32"/>
        </w:rPr>
      </w:pPr>
      <w:r>
        <w:rPr>
          <w:rFonts w:hint="eastAsia" w:ascii="黑体" w:hAnsi="黑体" w:eastAsia="黑体" w:cs="黑体"/>
          <w:b w:val="0"/>
          <w:bCs w:val="0"/>
          <w:sz w:val="32"/>
          <w:szCs w:val="32"/>
        </w:rPr>
        <w:t>五、关于建设流动图书馆项目的建议</w:t>
      </w:r>
    </w:p>
    <w:p>
      <w:pPr>
        <w:spacing w:line="570" w:lineRule="exact"/>
        <w:ind w:right="11" w:firstLine="630"/>
        <w:rPr>
          <w:rFonts w:hint="eastAsia" w:eastAsia="仿宋_GB2312"/>
          <w:sz w:val="32"/>
          <w:szCs w:val="32"/>
        </w:rPr>
      </w:pPr>
      <w:r>
        <w:rPr>
          <w:rFonts w:hint="eastAsia" w:eastAsia="仿宋_GB2312"/>
          <w:sz w:val="32"/>
          <w:szCs w:val="32"/>
        </w:rPr>
        <w:t>2020年广州地区流动书车共8台，包括广州图书馆，广州少年儿童图书馆，越秀、海珠、黄埔、花都、从化、增城等六个区馆均各配备1台流动书车，书车面向公众服务的服务点共29个，面向特定群体服务的服务点共81个，为实现公共文化服务的均等化和全覆盖发挥了重要作用。但流动书车同时也存在着一定的缺点，如藏书量有限，服务时间短，同样也不方便读者借阅。</w:t>
      </w:r>
    </w:p>
    <w:p>
      <w:pPr>
        <w:spacing w:line="570" w:lineRule="exact"/>
        <w:ind w:right="11" w:firstLine="630"/>
        <w:rPr>
          <w:rFonts w:hint="eastAsia" w:eastAsia="仿宋_GB2312"/>
          <w:sz w:val="32"/>
          <w:szCs w:val="32"/>
        </w:rPr>
      </w:pPr>
      <w:r>
        <w:rPr>
          <w:rFonts w:hint="eastAsia" w:eastAsia="仿宋_GB2312"/>
          <w:sz w:val="32"/>
          <w:szCs w:val="32"/>
        </w:rPr>
        <w:t>接下来，将从三方面着手，进一步强化流动图书服务和特殊群体服务：一是优化现有流动服务点布局，适当增加流动书车服务点，拓展汽车流动图书馆服务的覆盖范围；二是以深化“图书馆之城”建设为契机，积极探索“图书馆+”的跨界合作新模式，吸引社会力量参与建设和运营图书馆，增加多种形态的图书馆供给；三是优化通借通还功能，推进实现全域无缝便捷服务，为市民提供更加便捷高效的服务。</w:t>
      </w:r>
    </w:p>
    <w:p>
      <w:pPr>
        <w:spacing w:line="570" w:lineRule="exact"/>
        <w:ind w:right="11" w:firstLine="630"/>
        <w:rPr>
          <w:rFonts w:hint="eastAsia" w:ascii="黑体" w:hAnsi="黑体" w:eastAsia="黑体" w:cs="黑体"/>
          <w:b w:val="0"/>
          <w:bCs w:val="0"/>
          <w:sz w:val="32"/>
          <w:szCs w:val="32"/>
        </w:rPr>
      </w:pPr>
      <w:r>
        <w:rPr>
          <w:rFonts w:hint="eastAsia" w:ascii="黑体" w:hAnsi="黑体" w:eastAsia="黑体" w:cs="黑体"/>
          <w:b w:val="0"/>
          <w:bCs w:val="0"/>
          <w:sz w:val="32"/>
          <w:szCs w:val="32"/>
        </w:rPr>
        <w:t>六、关于提升咨询服务和加强读者信息素养教育的建议</w:t>
      </w:r>
    </w:p>
    <w:p>
      <w:pPr>
        <w:spacing w:line="570" w:lineRule="exact"/>
        <w:ind w:right="11" w:firstLine="630"/>
        <w:rPr>
          <w:rFonts w:hint="eastAsia" w:eastAsia="仿宋_GB2312"/>
          <w:sz w:val="32"/>
          <w:szCs w:val="32"/>
        </w:rPr>
      </w:pPr>
      <w:r>
        <w:rPr>
          <w:rFonts w:hint="eastAsia" w:eastAsia="仿宋_GB2312"/>
          <w:sz w:val="32"/>
          <w:szCs w:val="32"/>
        </w:rPr>
        <w:t>信息素养是培育公民终身阅读习惯的核心要件，亦是公共图书馆基本服务的重要内容。“十四五”时期将把强化信息素养教育作为服务工作的重要着力点。第一，通过加大培训力度提升全市图书馆从业人员的现代服务意识和服务能力，建立和优化线上线下相结合的多媒介、立体式咨询体系，推动智能化咨询服务发展。第二，通过阅读推广活动等方式全面提升公众信息素养、公民素养、法律素养、创新素养、创业素养、职业素养、健康素养等全面素养教育。第三，重点针对未成年人、老年人、来穗人员、低收入人群等特殊服务群体开展以信息素养教育为核心内容的社会教育培训。第四，利用科技赋能，引进自助分拣、地磁力导航和机器人盘点等技术，提高读者查找图书的效率。</w:t>
      </w:r>
    </w:p>
    <w:p>
      <w:r>
        <w:rPr>
          <w:rFonts w:hint="eastAsia" w:eastAsia="仿宋_GB2312"/>
          <w:sz w:val="32"/>
          <w:szCs w:val="32"/>
        </w:rPr>
        <w:t>感谢您对我市</w:t>
      </w:r>
      <w:r>
        <w:rPr>
          <w:rFonts w:hint="eastAsia" w:eastAsia="仿宋_GB2312"/>
          <w:sz w:val="32"/>
          <w:szCs w:val="32"/>
          <w:lang w:eastAsia="zh-CN"/>
        </w:rPr>
        <w:t>图书馆</w:t>
      </w:r>
      <w:r>
        <w:rPr>
          <w:rFonts w:hint="eastAsia" w:eastAsia="仿宋_GB2312"/>
          <w:sz w:val="32"/>
          <w:szCs w:val="32"/>
        </w:rPr>
        <w:t>工作的关心和支持，欢迎您继续对我们的工作提出宝贵意见和建议。</w:t>
      </w:r>
    </w:p>
    <w:sectPr>
      <w:footerReference r:id="rId3" w:type="default"/>
      <w:pgSz w:w="11906" w:h="16838"/>
      <w:pgMar w:top="1984" w:right="1587" w:bottom="1984" w:left="1587" w:header="851" w:footer="992" w:gutter="0"/>
      <w:paperSrc/>
      <w:pgNumType w:fmt="numberInDash"/>
      <w:cols w:space="0" w:num="1"/>
      <w:rtlGutter w:val="0"/>
      <w:docGrid w:type="linesAndChars" w:linePitch="585"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6"/>
  <w:drawingGridVerticalSpacing w:val="29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32FE4"/>
    <w:rsid w:val="4FE32FE4"/>
    <w:rsid w:val="7DE92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2021-04-19T09:50:00Z</dcterms:created>
  <dc:creator>Cheryl.X</dc:creator>
  <cp:lastModifiedBy>Cheryl.X</cp:lastModifiedBy>
  <dcterms:modified xsi:type="dcterms:W3CDTF">2021-04-19T09:51:39Z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